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四川省供销投资集团有限公司企业负责人薪酬信息披露</w:t>
      </w:r>
    </w:p>
    <w:p>
      <w:pPr>
        <w:jc w:val="center"/>
      </w:pPr>
    </w:p>
    <w:p>
      <w:pPr>
        <w:jc w:val="center"/>
      </w:pPr>
    </w:p>
    <w:p>
      <w:pPr>
        <w:spacing w:after="156" w:afterLines="50"/>
        <w:jc w:val="center"/>
        <w:rPr>
          <w:rFonts w:ascii="宋体" w:hAnsi="宋体" w:eastAsia="宋体"/>
          <w:sz w:val="24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    </w:t>
      </w:r>
      <w:r>
        <w:rPr>
          <w:rFonts w:hint="eastAsia" w:ascii="宋体" w:hAnsi="宋体" w:eastAsia="宋体"/>
          <w:sz w:val="24"/>
          <w:szCs w:val="28"/>
        </w:rPr>
        <w:t>单位：人民币万元</w:t>
      </w:r>
    </w:p>
    <w:tbl>
      <w:tblPr>
        <w:tblStyle w:val="5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2"/>
        <w:gridCol w:w="1260"/>
        <w:gridCol w:w="850"/>
        <w:gridCol w:w="1559"/>
        <w:gridCol w:w="2552"/>
        <w:gridCol w:w="1843"/>
        <w:gridCol w:w="1984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spacing w:line="39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姓名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39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职务</w:t>
            </w:r>
          </w:p>
        </w:tc>
        <w:tc>
          <w:tcPr>
            <w:tcW w:w="850" w:type="dxa"/>
            <w:vMerge w:val="restart"/>
          </w:tcPr>
          <w:p>
            <w:pPr>
              <w:spacing w:before="568"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任职起止时间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202</w:t>
            </w:r>
            <w:r>
              <w:rPr>
                <w:rFonts w:ascii="黑体" w:hAnsi="黑体" w:eastAsia="黑体"/>
                <w:color w:val="000000"/>
                <w:sz w:val="26"/>
              </w:rPr>
              <w:t>2</w:t>
            </w:r>
            <w:r>
              <w:rPr>
                <w:rFonts w:hint="eastAsia" w:ascii="黑体" w:hAnsi="黑体" w:eastAsia="黑体"/>
                <w:color w:val="000000"/>
                <w:sz w:val="26"/>
              </w:rPr>
              <w:t>年度从本公司获得的税前薪酬情况</w:t>
            </w:r>
          </w:p>
        </w:tc>
        <w:tc>
          <w:tcPr>
            <w:tcW w:w="1984" w:type="dxa"/>
            <w:vMerge w:val="restart"/>
          </w:tcPr>
          <w:p>
            <w:pPr>
              <w:spacing w:before="580" w:line="297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201</w:t>
            </w:r>
            <w:r>
              <w:rPr>
                <w:rFonts w:ascii="黑体" w:hAnsi="黑体" w:eastAsia="黑体"/>
                <w:color w:val="000000"/>
                <w:sz w:val="26"/>
              </w:rPr>
              <w:t>9</w:t>
            </w:r>
            <w:r>
              <w:rPr>
                <w:rFonts w:hint="eastAsia" w:ascii="黑体" w:hAnsi="黑体" w:eastAsia="黑体"/>
                <w:color w:val="000000"/>
                <w:sz w:val="26"/>
              </w:rPr>
              <w:t>年-202</w:t>
            </w:r>
            <w:r>
              <w:rPr>
                <w:rFonts w:ascii="黑体" w:hAnsi="黑体" w:eastAsia="黑体"/>
                <w:color w:val="000000"/>
                <w:sz w:val="26"/>
              </w:rPr>
              <w:t>2</w:t>
            </w:r>
            <w:r>
              <w:rPr>
                <w:rFonts w:hint="eastAsia" w:ascii="黑体" w:hAnsi="黑体" w:eastAsia="黑体"/>
                <w:color w:val="000000"/>
                <w:sz w:val="26"/>
              </w:rPr>
              <w:t>年任期激励收入</w:t>
            </w:r>
          </w:p>
        </w:tc>
        <w:tc>
          <w:tcPr>
            <w:tcW w:w="1843" w:type="dxa"/>
            <w:vMerge w:val="restart"/>
          </w:tcPr>
          <w:p>
            <w:pPr>
              <w:spacing w:before="420" w:line="297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是否在股东单位或其他关联方领取薪酬</w:t>
            </w:r>
          </w:p>
        </w:tc>
        <w:tc>
          <w:tcPr>
            <w:tcW w:w="1984" w:type="dxa"/>
            <w:vMerge w:val="restart"/>
          </w:tcPr>
          <w:p>
            <w:pPr>
              <w:spacing w:before="574"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在关联方领取的税前薪酬总额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862" w:type="dxa"/>
            <w:vMerge w:val="continue"/>
          </w:tcPr>
          <w:p/>
        </w:tc>
        <w:tc>
          <w:tcPr>
            <w:tcW w:w="126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应付年薪</w:t>
            </w:r>
          </w:p>
        </w:tc>
        <w:tc>
          <w:tcPr>
            <w:tcW w:w="2552" w:type="dxa"/>
          </w:tcPr>
          <w:p>
            <w:pPr>
              <w:spacing w:before="147"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社会保险、企业年金、补充医疗保险及住房公积金的单位缴纳（存）部分</w:t>
            </w:r>
          </w:p>
        </w:tc>
        <w:tc>
          <w:tcPr>
            <w:tcW w:w="1843" w:type="dxa"/>
          </w:tcPr>
          <w:p>
            <w:pPr>
              <w:spacing w:before="318" w:line="297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其他货币性收入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  <w:sz w:val="26"/>
              </w:rPr>
              <w:t>（注明具体项目并分列）</w:t>
            </w:r>
          </w:p>
        </w:tc>
        <w:tc>
          <w:tcPr>
            <w:tcW w:w="1984" w:type="dxa"/>
            <w:vMerge w:val="continue"/>
          </w:tcPr>
          <w:p/>
        </w:tc>
        <w:tc>
          <w:tcPr>
            <w:tcW w:w="1843" w:type="dxa"/>
            <w:vMerge w:val="continue"/>
          </w:tcPr>
          <w:p/>
        </w:tc>
        <w:tc>
          <w:tcPr>
            <w:tcW w:w="1984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吴德贵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党委委员、监事会副主席、纪委书记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2019.09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肖才德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副总裁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69"/>
    <w:rsid w:val="00037CC1"/>
    <w:rsid w:val="000A4C37"/>
    <w:rsid w:val="0017252E"/>
    <w:rsid w:val="00212504"/>
    <w:rsid w:val="00216C92"/>
    <w:rsid w:val="00274693"/>
    <w:rsid w:val="00294EB4"/>
    <w:rsid w:val="00302989"/>
    <w:rsid w:val="00424069"/>
    <w:rsid w:val="004D46CE"/>
    <w:rsid w:val="00796079"/>
    <w:rsid w:val="008151F8"/>
    <w:rsid w:val="00896E6B"/>
    <w:rsid w:val="008C4B89"/>
    <w:rsid w:val="00971C16"/>
    <w:rsid w:val="009873C5"/>
    <w:rsid w:val="00AE682B"/>
    <w:rsid w:val="00B46A28"/>
    <w:rsid w:val="00B471F6"/>
    <w:rsid w:val="00B84685"/>
    <w:rsid w:val="00BF3A1D"/>
    <w:rsid w:val="00C473D7"/>
    <w:rsid w:val="00CB28C8"/>
    <w:rsid w:val="00DB424C"/>
    <w:rsid w:val="00F0611B"/>
    <w:rsid w:val="00F8559D"/>
    <w:rsid w:val="60A0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5</TotalTime>
  <ScaleCrop>false</ScaleCrop>
  <LinksUpToDate>false</LinksUpToDate>
  <CharactersWithSpaces>564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2023-12-19T03:13:00Z</dcterms:created>
  <dc:creator>wang fei</dc:creator>
  <cp:lastModifiedBy>木公</cp:lastModifiedBy>
  <cp:lastPrinted>2023-12-27T02:01:00Z</cp:lastPrinted>
  <dcterms:modified xsi:type="dcterms:W3CDTF">2023-12-27T02:57:16Z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62A9C2BEBDC3421C85C1CD1191F3E1AF</vt:lpwstr>
  </property>
</Properties>
</file>