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597"/>
      <w:bookmarkStart w:id="3" w:name="_Toc15378441"/>
      <w:bookmarkStart w:id="4" w:name="_Toc15377193"/>
      <w:bookmarkStart w:id="5" w:name="_Toc15396475"/>
      <w:r>
        <w:rPr>
          <w:rFonts w:hint="eastAsia" w:ascii="方正小标宋简体" w:hAnsi="宋体" w:eastAsia="方正小标宋简体"/>
          <w:color w:val="000000"/>
          <w:sz w:val="72"/>
          <w:szCs w:val="72"/>
        </w:rPr>
        <w:t>2020年度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78442"/>
      <w:bookmarkStart w:id="7" w:name="_Toc15396476"/>
      <w:bookmarkStart w:id="8" w:name="_Toc15377194"/>
      <w:bookmarkStart w:id="9" w:name="_Toc15377426"/>
      <w:bookmarkStart w:id="10" w:name="_Toc15396598"/>
      <w:r>
        <w:rPr>
          <w:rFonts w:hint="eastAsia" w:ascii="方正小标宋简体" w:hAnsi="宋体" w:eastAsia="方正小标宋简体"/>
          <w:color w:val="000000"/>
          <w:w w:val="92"/>
          <w:sz w:val="72"/>
          <w:szCs w:val="72"/>
        </w:rPr>
        <w:t>四川省</w:t>
      </w:r>
      <w:bookmarkEnd w:id="0"/>
      <w:bookmarkStart w:id="11" w:name="_Toc15306268"/>
      <w:r>
        <w:rPr>
          <w:rFonts w:hint="eastAsia" w:ascii="方正小标宋简体" w:hAnsi="宋体" w:eastAsia="方正小标宋简体"/>
          <w:color w:val="000000"/>
          <w:w w:val="92"/>
          <w:sz w:val="72"/>
          <w:szCs w:val="72"/>
        </w:rPr>
        <w:t>供销合作社联合社</w:t>
      </w:r>
      <w:r>
        <w:rPr>
          <w:rFonts w:hint="eastAsia" w:ascii="方正小标宋简体" w:hAnsi="宋体" w:eastAsia="方正小标宋简体"/>
          <w:color w:val="000000"/>
          <w:w w:val="92"/>
          <w:sz w:val="72"/>
          <w:szCs w:val="72"/>
          <w:lang w:val="en-US" w:eastAsia="zh-CN"/>
        </w:rPr>
        <w:t>机关</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adjustRightInd w:val="0"/>
        <w:snapToGrid w:val="0"/>
        <w:spacing w:line="560" w:lineRule="exact"/>
        <w:jc w:val="center"/>
        <w:rPr>
          <w:rFonts w:ascii="仿宋_GB2312" w:hAnsi="仿宋_GB2312" w:eastAsia="仿宋_GB2312" w:cs="仿宋_GB2312"/>
          <w:sz w:val="32"/>
          <w:szCs w:val="32"/>
        </w:rPr>
      </w:pPr>
    </w:p>
    <w:p>
      <w:pPr>
        <w:pStyle w:val="10"/>
        <w:adjustRightInd w:val="0"/>
        <w:snapToGrid w:val="0"/>
        <w:spacing w:before="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公开时间：2021年9月10日</w:t>
      </w:r>
    </w:p>
    <w:p>
      <w:pPr>
        <w:adjustRightInd w:val="0"/>
        <w:snapToGrid w:val="0"/>
        <w:spacing w:line="560" w:lineRule="exact"/>
        <w:rPr>
          <w:rFonts w:ascii="仿宋_GB2312" w:hAnsi="仿宋_GB2312" w:eastAsia="仿宋_GB2312" w:cs="仿宋_GB2312"/>
          <w:sz w:val="32"/>
          <w:szCs w:val="32"/>
        </w:rPr>
      </w:pPr>
    </w:p>
    <w:p>
      <w:pPr>
        <w:pStyle w:val="10"/>
        <w:adjustRightInd w:val="0"/>
        <w:snapToGrid w:val="0"/>
        <w:spacing w:before="0" w:line="560" w:lineRule="exact"/>
        <w:jc w:val="left"/>
        <w:rPr>
          <w:rFonts w:ascii="仿宋_GB2312" w:hAnsi="仿宋_GB2312" w:eastAsia="仿宋_GB2312" w:cs="仿宋_GB2312"/>
          <w:sz w:val="30"/>
          <w:szCs w:val="30"/>
        </w:rPr>
      </w:pPr>
      <w:r>
        <w:rPr>
          <w:rFonts w:hint="eastAsia" w:ascii="黑体" w:hAnsi="黑体" w:eastAsia="黑体" w:cs="黑体"/>
          <w:sz w:val="30"/>
          <w:szCs w:val="30"/>
        </w:rPr>
        <w:t>第一部分 单位概况..........................。.............4</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一、职能简介.......................。.................4</w:t>
      </w:r>
    </w:p>
    <w:p>
      <w:pPr>
        <w:pStyle w:val="11"/>
        <w:adjustRightInd w:val="0"/>
        <w:snapToGrid w:val="0"/>
        <w:spacing w:line="560" w:lineRule="exact"/>
        <w:ind w:left="0" w:leftChars="0"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二、2020年重点工作完成情况.............。.............4</w:t>
      </w:r>
    </w:p>
    <w:p>
      <w:pPr>
        <w:pStyle w:val="11"/>
        <w:adjustRightInd w:val="0"/>
        <w:snapToGrid w:val="0"/>
        <w:spacing w:line="560" w:lineRule="exact"/>
        <w:ind w:left="0" w:leftChars="0" w:firstLine="600"/>
        <w:jc w:val="left"/>
        <w:rPr>
          <w:rFonts w:hint="eastAsia" w:eastAsia="仿宋_GB2312"/>
          <w:lang w:eastAsia="zh-CN"/>
        </w:rPr>
      </w:pP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kern w:val="2"/>
          <w:sz w:val="32"/>
          <w:szCs w:val="32"/>
          <w:lang w:val="en-US" w:eastAsia="zh-CN" w:bidi="ar-SA"/>
        </w:rPr>
        <w:t>机构设置情况.........</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9</w:t>
      </w:r>
    </w:p>
    <w:p>
      <w:pPr>
        <w:pStyle w:val="10"/>
        <w:adjustRightInd w:val="0"/>
        <w:snapToGrid w:val="0"/>
        <w:spacing w:before="0" w:line="560" w:lineRule="exact"/>
        <w:jc w:val="left"/>
        <w:rPr>
          <w:rFonts w:ascii="仿宋_GB2312" w:hAnsi="仿宋_GB2312" w:eastAsia="仿宋_GB2312" w:cs="仿宋_GB2312"/>
          <w:sz w:val="30"/>
          <w:szCs w:val="30"/>
        </w:rPr>
      </w:pPr>
      <w:r>
        <w:rPr>
          <w:rFonts w:hint="eastAsia" w:ascii="黑体" w:hAnsi="黑体" w:eastAsia="黑体" w:cs="黑体"/>
          <w:sz w:val="30"/>
          <w:szCs w:val="30"/>
        </w:rPr>
        <w:t>第二部分 2020年度部门决算情况说明.......................10</w:t>
      </w:r>
    </w:p>
    <w:p>
      <w:pPr>
        <w:pStyle w:val="11"/>
        <w:adjustRightInd w:val="0"/>
        <w:snapToGrid w:val="0"/>
        <w:spacing w:line="560" w:lineRule="exact"/>
        <w:ind w:left="638" w:leftChars="304"/>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一、收入支出决算总体情况说明.........................10</w:t>
      </w:r>
    </w:p>
    <w:p>
      <w:pPr>
        <w:pStyle w:val="11"/>
        <w:adjustRightInd w:val="0"/>
        <w:snapToGrid w:val="0"/>
        <w:spacing w:line="560" w:lineRule="exact"/>
        <w:ind w:left="638" w:leftChars="304"/>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二、收入决算情况说明.................................10</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三、支出决算情况说明.................................11</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四、财政拨款收入支出决算总体情况说明.................12</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五、一般公共预算财政拨款支出决算情况说明.............12</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六、一般公共预算财政拨款基本支出决算情况说明.........16</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七、“三公”经费财政拨款支出决算情况说明.............17</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八、政府性基金预算支出决算情况说明...................19</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九、国有资本经营预算支出决算情况说明.................19</w:t>
      </w:r>
    </w:p>
    <w:p>
      <w:pPr>
        <w:adjustRightInd w:val="0"/>
        <w:snapToGrid w:val="0"/>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十、其他重要事项的情况说明...........................19</w:t>
      </w:r>
    </w:p>
    <w:p>
      <w:pPr>
        <w:pStyle w:val="10"/>
        <w:adjustRightInd w:val="0"/>
        <w:snapToGrid w:val="0"/>
        <w:spacing w:before="0" w:line="560" w:lineRule="exact"/>
        <w:jc w:val="left"/>
        <w:rPr>
          <w:rFonts w:ascii="黑体" w:hAnsi="黑体" w:eastAsia="黑体" w:cs="黑体"/>
          <w:sz w:val="30"/>
          <w:szCs w:val="30"/>
        </w:rPr>
      </w:pPr>
      <w:r>
        <w:rPr>
          <w:rFonts w:hint="eastAsia" w:ascii="黑体" w:hAnsi="黑体" w:eastAsia="黑体" w:cs="黑体"/>
          <w:sz w:val="30"/>
          <w:szCs w:val="30"/>
        </w:rPr>
        <w:t>第三部分 名词解释.......................................25</w:t>
      </w:r>
    </w:p>
    <w:p>
      <w:pPr>
        <w:pStyle w:val="10"/>
        <w:adjustRightInd w:val="0"/>
        <w:snapToGrid w:val="0"/>
        <w:spacing w:before="0" w:line="560" w:lineRule="exact"/>
        <w:jc w:val="left"/>
        <w:rPr>
          <w:rFonts w:ascii="黑体" w:hAnsi="黑体" w:eastAsia="黑体" w:cs="黑体"/>
          <w:sz w:val="30"/>
          <w:szCs w:val="30"/>
        </w:rPr>
      </w:pPr>
      <w:r>
        <w:rPr>
          <w:rFonts w:hint="eastAsia" w:ascii="黑体" w:hAnsi="黑体" w:eastAsia="黑体" w:cs="黑体"/>
          <w:sz w:val="30"/>
          <w:szCs w:val="30"/>
        </w:rPr>
        <w:t>第四部分 附件...........................................29</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附件3...............................................29</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p>
    <w:p>
      <w:pPr>
        <w:pStyle w:val="10"/>
        <w:adjustRightInd w:val="0"/>
        <w:snapToGrid w:val="0"/>
        <w:spacing w:before="0" w:line="560" w:lineRule="exact"/>
        <w:jc w:val="left"/>
        <w:rPr>
          <w:rFonts w:ascii="黑体" w:hAnsi="黑体" w:eastAsia="黑体" w:cs="黑体"/>
          <w:sz w:val="30"/>
          <w:szCs w:val="30"/>
        </w:rPr>
      </w:pPr>
      <w:r>
        <w:rPr>
          <w:rFonts w:hint="eastAsia" w:ascii="黑体" w:hAnsi="黑体" w:eastAsia="黑体" w:cs="黑体"/>
          <w:sz w:val="30"/>
          <w:szCs w:val="30"/>
        </w:rPr>
        <w:t>第五部分 附表...........................................47</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一、收入支出决算总表</w:t>
      </w:r>
    </w:p>
    <w:p>
      <w:pPr>
        <w:pStyle w:val="11"/>
        <w:adjustRightInd w:val="0"/>
        <w:snapToGrid w:val="0"/>
        <w:spacing w:line="560" w:lineRule="exact"/>
        <w:ind w:left="0" w:leftChars="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二、收入决算表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三、支出决算表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四、财政拨款收入支出决算总表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五、财政拨款支出决算明细表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六、一般公共预算财政拨款支出决算表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七、一般公共预算财政拨款支出决算明细表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八、一般公共预算财政拨款基本支出决算表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九、一般公共预算财政拨款项目支出决算表</w:t>
      </w:r>
    </w:p>
    <w:p>
      <w:pPr>
        <w:pStyle w:val="11"/>
        <w:adjustRightInd w:val="0"/>
        <w:snapToGrid w:val="0"/>
        <w:spacing w:line="560" w:lineRule="exact"/>
        <w:ind w:left="0" w:leftChars="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十、一般公共预算财政拨款“三公”经费支出决算表</w:t>
      </w:r>
    </w:p>
    <w:p>
      <w:pPr>
        <w:pStyle w:val="11"/>
        <w:adjustRightInd w:val="0"/>
        <w:snapToGrid w:val="0"/>
        <w:spacing w:line="560" w:lineRule="exact"/>
        <w:ind w:left="0" w:leftChars="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十一、政府性基金预算财政拨款收入支出决算表</w:t>
      </w:r>
    </w:p>
    <w:p>
      <w:pPr>
        <w:pStyle w:val="11"/>
        <w:adjustRightInd w:val="0"/>
        <w:snapToGrid w:val="0"/>
        <w:spacing w:line="560" w:lineRule="exact"/>
        <w:ind w:left="0" w:leftChars="0"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十二、政府性基金预算财政拨款“三公”经费支出决算表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十三、国有资本经营预算财政拨款收入支出决算表</w:t>
      </w:r>
    </w:p>
    <w:p>
      <w:pPr>
        <w:pStyle w:val="11"/>
        <w:adjustRightInd w:val="0"/>
        <w:snapToGrid w:val="0"/>
        <w:spacing w:line="560" w:lineRule="exact"/>
        <w:ind w:left="0" w:leftChars="0"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十四、国有资本经营预算财政拨款支出决算表</w:t>
      </w:r>
    </w:p>
    <w:p>
      <w:pPr>
        <w:rPr>
          <w:rFonts w:ascii="仿宋_GB2312" w:hAnsi="仿宋_GB2312" w:eastAsia="仿宋_GB2312" w:cs="仿宋_GB2312"/>
          <w:sz w:val="30"/>
          <w:szCs w:val="30"/>
        </w:rPr>
      </w:pPr>
    </w:p>
    <w:p>
      <w:pPr>
        <w:pStyle w:val="2"/>
        <w:spacing w:before="93"/>
        <w:rPr>
          <w:rFonts w:hAnsi="仿宋_GB2312" w:cs="仿宋_GB2312"/>
          <w:szCs w:val="30"/>
        </w:rPr>
      </w:pPr>
    </w:p>
    <w:p>
      <w:pPr>
        <w:pStyle w:val="2"/>
        <w:spacing w:before="93"/>
        <w:rPr>
          <w:rFonts w:hAnsi="仿宋_GB2312" w:cs="仿宋_GB2312"/>
          <w:szCs w:val="30"/>
        </w:rPr>
      </w:pPr>
    </w:p>
    <w:p>
      <w:pPr>
        <w:pStyle w:val="2"/>
        <w:spacing w:before="93"/>
        <w:rPr>
          <w:rFonts w:hAnsi="仿宋_GB2312" w:cs="仿宋_GB2312"/>
          <w:szCs w:val="30"/>
        </w:rPr>
      </w:pPr>
    </w:p>
    <w:p>
      <w:pPr>
        <w:pStyle w:val="2"/>
        <w:spacing w:before="93"/>
        <w:rPr>
          <w:rFonts w:hAnsi="仿宋_GB2312" w:cs="仿宋_GB2312"/>
          <w:szCs w:val="30"/>
        </w:rPr>
      </w:pPr>
    </w:p>
    <w:p>
      <w:pPr>
        <w:pStyle w:val="3"/>
        <w:spacing w:line="580" w:lineRule="exact"/>
        <w:jc w:val="center"/>
        <w:rPr>
          <w:rStyle w:val="27"/>
          <w:rFonts w:ascii="黑体" w:hAnsi="黑体" w:eastAsia="黑体"/>
          <w:b/>
          <w:bCs w:val="0"/>
        </w:rPr>
      </w:pPr>
      <w:bookmarkStart w:id="12" w:name="_Toc15396599"/>
      <w:bookmarkStart w:id="13" w:name="_Toc15377196"/>
      <w:r>
        <w:rPr>
          <w:rFonts w:hint="eastAsia" w:ascii="黑体" w:hAnsi="黑体" w:eastAsia="黑体"/>
          <w:b w:val="0"/>
        </w:rPr>
        <w:t>第一部分 单位</w:t>
      </w:r>
      <w:r>
        <w:rPr>
          <w:rStyle w:val="27"/>
          <w:rFonts w:hint="eastAsia" w:ascii="黑体" w:hAnsi="黑体" w:eastAsia="黑体"/>
          <w:b w:val="0"/>
          <w:bCs w:val="0"/>
        </w:rPr>
        <w:t>概况</w:t>
      </w:r>
      <w:bookmarkEnd w:id="12"/>
      <w:bookmarkEnd w:id="13"/>
    </w:p>
    <w:p>
      <w:pPr>
        <w:pStyle w:val="4"/>
        <w:adjustRightInd w:val="0"/>
        <w:snapToGrid w:val="0"/>
        <w:spacing w:before="0" w:after="0" w:line="580" w:lineRule="exact"/>
        <w:ind w:firstLine="640" w:firstLineChars="200"/>
        <w:rPr>
          <w:rStyle w:val="28"/>
          <w:rFonts w:ascii="仿宋" w:hAnsi="仿宋" w:eastAsia="黑体"/>
          <w:b w:val="0"/>
          <w:bCs w:val="0"/>
        </w:rPr>
      </w:pPr>
      <w:bookmarkStart w:id="14" w:name="_Toc15377197"/>
      <w:bookmarkStart w:id="15" w:name="_Toc15396600"/>
      <w:r>
        <w:rPr>
          <w:rFonts w:hint="eastAsia" w:ascii="黑体" w:hAnsi="黑体" w:eastAsia="黑体"/>
          <w:b w:val="0"/>
          <w:color w:val="000000"/>
        </w:rPr>
        <w:t>一、</w:t>
      </w:r>
      <w:r>
        <w:rPr>
          <w:rStyle w:val="28"/>
          <w:rFonts w:hint="eastAsia" w:ascii="黑体" w:hAnsi="黑体" w:eastAsia="黑体"/>
          <w:b w:val="0"/>
          <w:bCs w:val="0"/>
        </w:rPr>
        <w:t>职能</w:t>
      </w:r>
      <w:bookmarkEnd w:id="14"/>
      <w:bookmarkEnd w:id="15"/>
      <w:r>
        <w:rPr>
          <w:rStyle w:val="28"/>
          <w:rFonts w:hint="eastAsia" w:ascii="黑体" w:hAnsi="黑体" w:eastAsia="黑体"/>
          <w:b w:val="0"/>
          <w:bCs w:val="0"/>
        </w:rPr>
        <w:t>简介</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1.宣传贯彻党中央、国务院和省委、省政府的方针政策。</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2.研究制定全省供销合作社发展规划；指导全省供销合作社的改革和发展，加快体制、机制创新，探索社会主义市场经济条件下合作经济的多种实现形式。</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3.在政府授权下，承担对重要农业生产资料经营、管理工作；参与组织、储备、调运有关救灾物资的工作。</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4.协调同政府有关部门、社会组织的关系，研究供销合作社运行中的重大问题；了解、反映供销社系统和农民群众的意见和要求，维护农民合作经济组织的合法权益。</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5.组织全省供销社系统参与和推进农业产业化经营，组织发展专业合作社、消费合作社等中介服务组织，加强商品供求、市场、信息服务体系建设。</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6.围绕建立和完善农业社会化服务体系，做好为农业、农村、农民服务工作，促进农村经济发展和农民收入水平的提高。</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7.监督和管理社有资产，确保社有资产保值增值，行使本级社有资产出资人代表职能，并按出资额依法享有资产受益、重大决策和选择经营管理者等权利。</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8.参与国际合作，密切经济、技术交流活动。</w:t>
      </w:r>
    </w:p>
    <w:p>
      <w:pPr>
        <w:pStyle w:val="12"/>
        <w:widowControl/>
        <w:shd w:val="clear" w:color="auto" w:fill="FFFFFF"/>
        <w:adjustRightInd w:val="0"/>
        <w:snapToGrid w:val="0"/>
        <w:spacing w:beforeAutospacing="0" w:afterAutospacing="0" w:line="560" w:lineRule="exact"/>
        <w:ind w:firstLine="640" w:firstLineChars="200"/>
        <w:rPr>
          <w:rFonts w:ascii="仿宋" w:hAnsi="仿宋" w:eastAsia="仿宋"/>
          <w:color w:val="000000"/>
          <w:kern w:val="2"/>
          <w:sz w:val="32"/>
          <w:szCs w:val="32"/>
        </w:rPr>
      </w:pPr>
      <w:r>
        <w:rPr>
          <w:rFonts w:hint="eastAsia" w:ascii="仿宋_GB2312" w:hAnsi="仿宋_GB2312" w:eastAsia="仿宋_GB2312" w:cs="仿宋_GB2312"/>
          <w:color w:val="000000"/>
          <w:kern w:val="2"/>
          <w:sz w:val="32"/>
          <w:szCs w:val="32"/>
        </w:rPr>
        <w:t>9.承担省政府交办的其他事项。</w:t>
      </w:r>
    </w:p>
    <w:p>
      <w:pPr>
        <w:pStyle w:val="2"/>
        <w:adjustRightInd w:val="0"/>
        <w:snapToGrid w:val="0"/>
        <w:spacing w:beforeLines="0" w:line="560" w:lineRule="exact"/>
        <w:ind w:firstLine="640" w:firstLineChars="200"/>
        <w:outlineLvl w:val="2"/>
        <w:rPr>
          <w:rStyle w:val="28"/>
          <w:rFonts w:ascii="黑体" w:hAnsi="黑体" w:eastAsia="黑体"/>
          <w:b w:val="0"/>
          <w:bCs w:val="0"/>
        </w:rPr>
      </w:pPr>
      <w:bookmarkStart w:id="16" w:name="_Toc15378446"/>
      <w:bookmarkStart w:id="17" w:name="_Toc15377199"/>
      <w:r>
        <w:rPr>
          <w:rStyle w:val="28"/>
          <w:rFonts w:hint="eastAsia" w:ascii="黑体" w:hAnsi="黑体" w:eastAsia="黑体"/>
          <w:b w:val="0"/>
          <w:bCs w:val="0"/>
        </w:rPr>
        <w:t>二、2020年重点工作完成情况</w:t>
      </w:r>
      <w:bookmarkEnd w:id="16"/>
      <w:bookmarkEnd w:id="17"/>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创新为农服务机制。一是加强指导督导。指导各地对标对表中发〔2015〕11号和川委发〔2016〕22号明确的目标任务，开展自查自评，全面梳理评估改革推进情况，查找短板和薄弱环节；建立改革任务台账，列出任务清单、措施清单和责任清单，逐项督促落实，确保全面完成改革目标任务。协调省委全面深化改革领导小组办公室开展全省供销合作社综合改革督查，做好迎接中央农办的专项督导工作，确保全省供销合作社综合改革顺利通过检查验收。二是推广试点经验。督促各地建立健全双线运行体系，不断推进组织体系和服务机制创新，在完善联合社治理机制、建立供销合作发展基金、推进社有企业改革转型等重点改革任务上扩大改革成效。三是完善治理架构。以联合社机构和“三会”制度建设为重点，加快完善县以上供销社机构设置和职能配置，健全社员代表大会、理事会、监事会，筹备召开省供销社第七次代表大会。力争到2020年底，设立供销社机构的市、县全面建立联合社“三会”制度，实现联合社机构和工作“双覆盖”。修订完善社员代表大会、理事会、监事会职能职责。</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健全为农服务网络。一是夯实基层组织基础。实施“供销合作社培育壮大工程”，着力提升基层组织经营服务实力。指导各地供销社抓住乡镇行政区划调整改革机遇，推动在乡镇“三定”方案中明确供销社工作职能，调配加强供销社工作力量，积极承接运营乡镇撤并后的闲置资产和政府购买公共服务。加大农村综合服务社新建提升、提档升级力度，加强空白、薄弱地区农村综合服务社建设。二是推进开门开放办社。按照全国总社指导意见，制定贯彻落实措施，规范开门开放办社。强化与农民的联合与合作，推动基层社逐步办成以农民社员为主体的合作社。三是推进“三社”融合试点。按照省农业和农村体制改革专项小组试点实施方案，指导5个试点县（区）按时完成试点任务。四是深化新型“农合联”试点。积极探索生产、供销、信用“三位一体”综合合作。协调省委农村工作领导小组出台深化“农合联”建设试点的实施方案，在有条件的市、县深化试点。规范建立农合联组织体系，在市、县两级组建“农合联”，鼓励县以下发展产业型“农合联”，推动涉农服务资源整合，发挥综合服务平台作用。</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提升为农服务水平。一是实施农业社会化服务惠民工程。围绕现代农业“10+3”产业体系建设开展全产业链条农业社会化服务惠农工程。创新为农服务方式，大力推进农资连锁经营，发挥庄稼医院科技服务功能作用，争取实施更多农业社会化服务示范创建项目，推动由流通服务向全产业链条服务转变。二是发展农村会计综合服务。制定供销社会计综合服务建设指导意见，指导内江、宜宾、乐山等地拓展农产品居间交易、融资对接等综合性服务，支持省供销云科技有限责任公司发挥好全省会计服务体系建设的牵引工作，增强技术服务和业务引领作用，推动农村会计综合服务标准化建设、规范化服务、信息化支撑、一体化运营、品牌化发展，为农民专业合作社、家庭农场、农村小微企业等农村各类新型经营主体提供财务管理、政策咨询、信息统计等综合服务。三是稳步推进供销金融服务。指导现有资金互助、信用合作组织规范发展，加强与供销主营业务的紧密联结。探索供应链金融试点，示范推出适合供销产业链的融资产品。做实供销合作发展基金。四是补上冷链物流短板。抢抓国家启动“农产品仓储保鲜冷链物流设施建设工程”的政策机遇，认真落实全省新农村现代流通服务网络工程（2020—2025年）建设规划，加快构建便捷、高效、稳定的农产品乡村物流网络体系。搭建四川省冷链物流信息平台，建立覆盖农产品生产、加工、运输、储存、销售全程的冷链物流体系。五是构建农产品“双向”流通体系。以社有企业为龙头引领带动，以解决农产品销售难为切入点，加快发展全省系统农村电商业务。六是参与“美丽四川•宜居乡村”建设。发挥供销社系统再生资源回收利用体系优势，介入农村环境整治，积极探索农村生活垃圾分类回收和处理，推进农村生活垃圾减量化和资源化。深入推进“绿色农资”行动，推动农资销售与技术服务有机结合，开展化肥和农药使用量“双减”行动，推进农业面源污染治理。</w:t>
      </w:r>
    </w:p>
    <w:p>
      <w:pPr>
        <w:pStyle w:val="12"/>
        <w:widowControl/>
        <w:shd w:val="clear" w:color="auto" w:fill="FFFFFF"/>
        <w:adjustRightInd w:val="0"/>
        <w:snapToGrid w:val="0"/>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优化供销扶贫模式。一是全面落实定点脱贫责任。发挥系统优势助力精准脱贫，全面履行好定点帮扶职责。坚持尽锐出战，整合优势资源，加大帮扶力度，突出产业扶贫和智力帮扶，助力帮扶地区形成稳定脱贫长效机制，确保如期脱贫，真正脱贫。二是深入推进产业扶贫。立足行业特点，进一步推广“供销社+小农户+贫困户”的扶贫模式，帮助小农户发展特色种、养殖业和其他新产业新业态，推进产业扶贫，帮助贫困农户增收致富。继续安排3000万元资金，支持15个深度贫困地区供销社建设优质农产品销售流通体系和农业社会化服务体系。三是扎实推进消费扶贫。加快构建贫困地区优质农产品供销体系，依托省社企业做好“四川扶贫”集体商标的审核和运维管理。发挥省社企业龙头引领作用，以贫困地区农产品“以购代捐”为切入点，对接“扶贫832平台”，用好“四川消费扶贫网”平台，组织特色优质扶贫产品上线销售，组织贫困地区优质特色农副产品参加展示推介活动，推进贫困地区特色优质农产品更多地进社区、进机关、进学校、进企业、进超市、进食堂，推动消费扶贫。四是持续推进东西部扶贫协作。用好广东“四川扶贫”公益标识产品展销平台，加强与浙江供销社系统合作，推进四川扶贫产品外销。</w:t>
      </w:r>
    </w:p>
    <w:p>
      <w:pPr>
        <w:pStyle w:val="12"/>
        <w:widowControl/>
        <w:shd w:val="clear" w:color="auto" w:fill="FFFFFF"/>
        <w:adjustRightInd w:val="0"/>
        <w:snapToGrid w:val="0"/>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强化为农服务保障。一是强化拓展主题教育。组织系统党员干部认真读原著、学原文、悟原理，深入学习贯彻习近平总书记关于供销合作社工作的重要指示批示精神，深学笃信笃行习近平新时代中国特色社会主义思想，进一步增强“四个意识”、坚定“四个自信”、做到“两个维护”。持续抓好主题教育检视问题整改落实，建立健全长效机制。二是强化思想政治建设。加强政治理论学习，坚持从严治社，强化党风廉政教育，营造风清气正的政治生态和改革发展环境。三是强化对外合作交流。持续推进战略合作协议签订和落实，提升战略合作层次和水平。做好对外交流活动的备案、统计工作。加强与国内外组织和行业部门的沟通协调，推进供销社系统经贸交流合作。四是强化财务审计管理。建立完善预算管理制度，抓好预算执行和专项资金管理，建立健全财政资金项目管理制度。指导推动系统社有资产清查核资工作，建立完善供销社资产台账管理制度，加强资产运营管理。按照审计厅项目专项审计整改要求，认真做好审计整改工作，及时完善制度、强化内控、堵塞漏洞。五是强化绩效评价管理。落实省级社有企业负责人绩效薪酬管理及经营业绩考核办法、省社直属学校工作绩效考核办法，做好省级社有企业、省社直属学校、省社机关工作绩效考核工作及省政府部门绩效管理考评工作。做好对市（州）综合业绩管理工作，指导市（州）联合社完善对县级联合社的综合业绩管理机制。六是强化安全应急管理。严格落实“党政同责、一岗双责”，全面落实安全生产责任制和各项规章制度。七是强化依法行政施策，坚持依法化解历史遗留问题。</w:t>
      </w:r>
    </w:p>
    <w:p>
      <w:pPr>
        <w:pStyle w:val="2"/>
        <w:adjustRightInd w:val="0"/>
        <w:snapToGrid w:val="0"/>
        <w:spacing w:beforeLines="0" w:line="560" w:lineRule="exact"/>
        <w:ind w:firstLine="640" w:firstLineChars="200"/>
        <w:outlineLvl w:val="2"/>
        <w:rPr>
          <w:rStyle w:val="28"/>
          <w:rFonts w:ascii="黑体" w:hAnsi="黑体" w:eastAsia="黑体"/>
          <w:b w:val="0"/>
          <w:bCs w:val="0"/>
        </w:rPr>
      </w:pPr>
      <w:r>
        <w:rPr>
          <w:rStyle w:val="28"/>
          <w:rFonts w:hint="eastAsia" w:ascii="黑体" w:hAnsi="黑体" w:eastAsia="黑体"/>
          <w:b w:val="0"/>
          <w:bCs w:val="0"/>
          <w:lang w:val="en-US" w:eastAsia="zh-CN"/>
        </w:rPr>
        <w:t>三</w:t>
      </w:r>
      <w:r>
        <w:rPr>
          <w:rStyle w:val="28"/>
          <w:rFonts w:hint="eastAsia" w:ascii="黑体" w:hAnsi="黑体" w:eastAsia="黑体"/>
          <w:b w:val="0"/>
          <w:bCs w:val="0"/>
        </w:rPr>
        <w:t>、机构设置情况</w:t>
      </w:r>
    </w:p>
    <w:p>
      <w:pPr>
        <w:pStyle w:val="2"/>
        <w:adjustRightInd w:val="0"/>
        <w:snapToGrid w:val="0"/>
        <w:spacing w:beforeLines="0" w:line="560" w:lineRule="exact"/>
        <w:ind w:firstLine="640" w:firstLineChars="200"/>
        <w:rPr>
          <w:rFonts w:ascii="仿宋" w:hAnsi="仿宋" w:eastAsia="仿宋"/>
          <w:color w:val="000000"/>
          <w:kern w:val="2"/>
          <w:sz w:val="32"/>
          <w:szCs w:val="32"/>
        </w:rPr>
      </w:pPr>
      <w:r>
        <w:rPr>
          <w:rFonts w:hint="eastAsia" w:ascii="仿宋_GB2312" w:hAnsi="仿宋_GB2312" w:eastAsia="仿宋_GB2312" w:cs="仿宋_GB2312"/>
          <w:bCs/>
          <w:kern w:val="0"/>
          <w:sz w:val="32"/>
          <w:szCs w:val="32"/>
          <w:lang w:val="en-US" w:eastAsia="zh-CN" w:bidi="ar-SA"/>
        </w:rPr>
        <w:t>省供销社机关内设12个处室，分别是：办公室、机关党委办公室、政策研究室、人事教育处、财务统计处、审计绩效处、经济发展处、社务指导处、互助合作处、企业管理处、离退休人员工作处、监事会办公室。</w:t>
      </w:r>
    </w:p>
    <w:p>
      <w:pPr>
        <w:pStyle w:val="3"/>
        <w:adjustRightInd w:val="0"/>
        <w:snapToGrid w:val="0"/>
        <w:spacing w:before="0" w:after="0" w:line="560" w:lineRule="exact"/>
        <w:jc w:val="center"/>
        <w:rPr>
          <w:rStyle w:val="27"/>
          <w:rFonts w:ascii="黑体" w:hAnsi="黑体" w:eastAsia="黑体" w:cs="黑体"/>
          <w:b w:val="0"/>
          <w:bCs w:val="0"/>
        </w:rPr>
      </w:pPr>
      <w:bookmarkStart w:id="18" w:name="_Toc15377204"/>
      <w:bookmarkStart w:id="19" w:name="_Toc15396602"/>
    </w:p>
    <w:p>
      <w:pPr>
        <w:rPr>
          <w:rStyle w:val="27"/>
          <w:rFonts w:ascii="黑体" w:hAnsi="黑体" w:eastAsia="黑体" w:cs="黑体"/>
          <w:b w:val="0"/>
          <w:bCs w:val="0"/>
        </w:rPr>
      </w:pPr>
    </w:p>
    <w:p>
      <w:pPr>
        <w:pStyle w:val="2"/>
      </w:pPr>
    </w:p>
    <w:p>
      <w:pPr>
        <w:pStyle w:val="3"/>
        <w:adjustRightInd w:val="0"/>
        <w:snapToGrid w:val="0"/>
        <w:spacing w:before="0" w:after="0" w:line="560" w:lineRule="exact"/>
        <w:jc w:val="center"/>
        <w:rPr>
          <w:rStyle w:val="27"/>
          <w:rFonts w:ascii="黑体" w:hAnsi="黑体" w:eastAsia="黑体"/>
          <w:b w:val="0"/>
          <w:bCs w:val="0"/>
        </w:rPr>
      </w:pPr>
      <w:r>
        <w:rPr>
          <w:rStyle w:val="27"/>
          <w:rFonts w:hint="eastAsia" w:ascii="黑体" w:hAnsi="黑体" w:eastAsia="黑体" w:cs="黑体"/>
          <w:b w:val="0"/>
          <w:bCs w:val="0"/>
        </w:rPr>
        <w:t>第二部分 2020年度部门决算情况说明</w:t>
      </w:r>
      <w:bookmarkEnd w:id="18"/>
      <w:bookmarkEnd w:id="19"/>
    </w:p>
    <w:p>
      <w:pPr>
        <w:adjustRightInd w:val="0"/>
        <w:snapToGrid w:val="0"/>
        <w:spacing w:line="560" w:lineRule="exact"/>
      </w:pPr>
    </w:p>
    <w:p>
      <w:pPr>
        <w:pStyle w:val="26"/>
        <w:adjustRightInd w:val="0"/>
        <w:snapToGrid w:val="0"/>
        <w:spacing w:line="560" w:lineRule="exact"/>
        <w:ind w:firstLine="640"/>
        <w:outlineLvl w:val="1"/>
        <w:rPr>
          <w:rStyle w:val="28"/>
          <w:rFonts w:ascii="黑体" w:hAnsi="黑体" w:eastAsia="黑体"/>
          <w:b w:val="0"/>
        </w:rPr>
      </w:pPr>
      <w:bookmarkStart w:id="20" w:name="_Toc15377205"/>
      <w:bookmarkStart w:id="21" w:name="_Toc15396603"/>
      <w:r>
        <w:rPr>
          <w:rFonts w:hint="eastAsia" w:ascii="黑体" w:hAnsi="黑体" w:eastAsia="黑体"/>
          <w:color w:val="000000"/>
          <w:sz w:val="32"/>
          <w:szCs w:val="32"/>
        </w:rPr>
        <w:t>一、收</w:t>
      </w:r>
      <w:r>
        <w:rPr>
          <w:rStyle w:val="28"/>
          <w:rFonts w:hint="eastAsia" w:ascii="黑体" w:hAnsi="黑体" w:eastAsia="黑体"/>
          <w:b w:val="0"/>
        </w:rPr>
        <w:t>入支出决算总体情况说明</w:t>
      </w:r>
      <w:bookmarkEnd w:id="20"/>
      <w:bookmarkEnd w:id="21"/>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2020年度收、支总计</w:t>
      </w:r>
      <w:r>
        <w:rPr>
          <w:rFonts w:ascii="仿宋_GB2312" w:hAnsi="仿宋_GB2312" w:eastAsia="仿宋_GB2312" w:cs="仿宋_GB2312"/>
          <w:color w:val="000000"/>
          <w:sz w:val="32"/>
          <w:szCs w:val="32"/>
        </w:rPr>
        <w:t>4314.47</w:t>
      </w:r>
      <w:r>
        <w:rPr>
          <w:rFonts w:hint="eastAsia" w:ascii="仿宋_GB2312" w:hAnsi="仿宋_GB2312" w:eastAsia="仿宋_GB2312" w:cs="仿宋_GB2312"/>
          <w:color w:val="000000"/>
          <w:sz w:val="32"/>
          <w:szCs w:val="32"/>
        </w:rPr>
        <w:t>万元。与2019年相比，收、支总计各减少2441.02万元，下降36.13%。</w:t>
      </w:r>
      <w:r>
        <w:rPr>
          <w:rFonts w:hint="eastAsia" w:ascii="仿宋_GB2312" w:hAnsi="仿宋_GB2312" w:eastAsia="仿宋_GB2312" w:cs="仿宋_GB2312"/>
          <w:sz w:val="32"/>
          <w:szCs w:val="32"/>
        </w:rPr>
        <w:t>主要变动原因是2019年安排省属企业供销综合改革及发展资金3000万元，2020年未安排。</w:t>
      </w:r>
    </w:p>
    <w:p>
      <w:pPr>
        <w:pStyle w:val="2"/>
        <w:spacing w:before="93"/>
        <w:rPr>
          <w:rFonts w:hAnsi="仿宋_GB2312" w:cs="仿宋_GB2312"/>
          <w:sz w:val="32"/>
          <w:szCs w:val="32"/>
        </w:rPr>
      </w:pPr>
      <w:r>
        <w:drawing>
          <wp:anchor distT="0" distB="0" distL="114935" distR="114935" simplePos="0" relativeHeight="251659264" behindDoc="0" locked="0" layoutInCell="1" allowOverlap="1">
            <wp:simplePos x="0" y="0"/>
            <wp:positionH relativeFrom="column">
              <wp:posOffset>427355</wp:posOffset>
            </wp:positionH>
            <wp:positionV relativeFrom="paragraph">
              <wp:posOffset>189230</wp:posOffset>
            </wp:positionV>
            <wp:extent cx="4963795" cy="2809240"/>
            <wp:effectExtent l="6350" t="6350" r="13335" b="19050"/>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spacing w:before="93"/>
        <w:rPr>
          <w:rFonts w:hAnsi="仿宋_GB2312" w:cs="仿宋_GB2312"/>
          <w:sz w:val="32"/>
          <w:szCs w:val="32"/>
        </w:rPr>
      </w:pPr>
    </w:p>
    <w:p>
      <w:pPr>
        <w:pStyle w:val="2"/>
        <w:spacing w:before="93"/>
        <w:rPr>
          <w:rFonts w:hAnsi="仿宋_GB2312" w:cs="仿宋_GB2312"/>
          <w:sz w:val="32"/>
          <w:szCs w:val="32"/>
        </w:rPr>
      </w:pPr>
    </w:p>
    <w:p>
      <w:pPr>
        <w:pStyle w:val="2"/>
        <w:spacing w:before="93"/>
        <w:rPr>
          <w:rFonts w:hAnsi="仿宋_GB2312" w:cs="仿宋_GB2312"/>
          <w:sz w:val="32"/>
          <w:szCs w:val="32"/>
        </w:rPr>
      </w:pPr>
    </w:p>
    <w:p>
      <w:pPr>
        <w:pStyle w:val="2"/>
        <w:spacing w:before="93"/>
        <w:rPr>
          <w:rFonts w:hAnsi="仿宋_GB2312" w:cs="仿宋_GB2312"/>
          <w:sz w:val="32"/>
          <w:szCs w:val="32"/>
        </w:rPr>
      </w:pPr>
    </w:p>
    <w:p>
      <w:pPr>
        <w:pStyle w:val="2"/>
        <w:spacing w:before="93"/>
        <w:rPr>
          <w:rFonts w:hAnsi="仿宋_GB2312" w:cs="仿宋_GB2312"/>
          <w:sz w:val="32"/>
          <w:szCs w:val="32"/>
        </w:rPr>
      </w:pPr>
    </w:p>
    <w:p>
      <w:pPr>
        <w:pStyle w:val="26"/>
        <w:adjustRightInd w:val="0"/>
        <w:snapToGrid w:val="0"/>
        <w:spacing w:line="560" w:lineRule="exact"/>
        <w:ind w:firstLine="1600" w:firstLineChars="500"/>
        <w:outlineLvl w:val="1"/>
        <w:rPr>
          <w:rFonts w:ascii="仿宋_GB2312" w:hAnsi="仿宋_GB2312" w:eastAsia="仿宋_GB2312" w:cs="仿宋_GB2312"/>
          <w:color w:val="000000" w:themeColor="text1"/>
          <w:sz w:val="32"/>
          <w:szCs w:val="32"/>
        </w:rPr>
      </w:pPr>
    </w:p>
    <w:p>
      <w:pPr>
        <w:pStyle w:val="26"/>
        <w:adjustRightInd w:val="0"/>
        <w:snapToGrid w:val="0"/>
        <w:spacing w:line="560" w:lineRule="exact"/>
        <w:ind w:firstLine="1920" w:firstLineChars="600"/>
        <w:outlineLvl w:val="1"/>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图1：收、支决算总计变动情况图</w:t>
      </w:r>
      <w:bookmarkStart w:id="22" w:name="_Toc15396604"/>
      <w:bookmarkStart w:id="23" w:name="_Toc15377206"/>
    </w:p>
    <w:p>
      <w:pPr>
        <w:pStyle w:val="26"/>
        <w:adjustRightInd w:val="0"/>
        <w:snapToGrid w:val="0"/>
        <w:spacing w:line="560" w:lineRule="exact"/>
        <w:ind w:firstLine="640"/>
        <w:outlineLvl w:val="1"/>
        <w:rPr>
          <w:rStyle w:val="28"/>
          <w:rFonts w:ascii="黑体" w:hAnsi="黑体" w:eastAsia="黑体"/>
          <w:b w:val="0"/>
        </w:rPr>
      </w:pPr>
      <w:r>
        <w:rPr>
          <w:rFonts w:hint="eastAsia" w:ascii="黑体" w:hAnsi="黑体" w:eastAsia="黑体"/>
          <w:color w:val="000000"/>
          <w:sz w:val="32"/>
          <w:szCs w:val="32"/>
        </w:rPr>
        <w:t>二、 收</w:t>
      </w:r>
      <w:r>
        <w:rPr>
          <w:rStyle w:val="28"/>
          <w:rFonts w:hint="eastAsia" w:ascii="黑体" w:hAnsi="黑体" w:eastAsia="黑体"/>
          <w:b w:val="0"/>
        </w:rPr>
        <w:t>入决算情况说明</w:t>
      </w:r>
      <w:bookmarkEnd w:id="22"/>
      <w:bookmarkEnd w:id="23"/>
    </w:p>
    <w:p>
      <w:pPr>
        <w:adjustRightInd w:val="0"/>
        <w:snapToGrid w:val="0"/>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2020年本年收入合计</w:t>
      </w:r>
      <w:r>
        <w:rPr>
          <w:rFonts w:ascii="仿宋_GB2312" w:hAnsi="仿宋_GB2312" w:eastAsia="仿宋_GB2312" w:cs="仿宋_GB2312"/>
          <w:color w:val="000000"/>
          <w:sz w:val="32"/>
          <w:szCs w:val="32"/>
        </w:rPr>
        <w:t>4314.47</w:t>
      </w:r>
      <w:r>
        <w:rPr>
          <w:rFonts w:hint="eastAsia" w:ascii="仿宋_GB2312" w:hAnsi="仿宋_GB2312" w:eastAsia="仿宋_GB2312" w:cs="仿宋_GB2312"/>
          <w:color w:val="000000"/>
          <w:sz w:val="32"/>
          <w:szCs w:val="32"/>
        </w:rPr>
        <w:t>万元，其中：一般公共预算财政拨款收入4314.42万元，占100%；其他收入0.05万元。</w:t>
      </w:r>
    </w:p>
    <w:p>
      <w:pPr>
        <w:pStyle w:val="2"/>
        <w:spacing w:before="93"/>
      </w:pPr>
    </w:p>
    <w:p>
      <w:pPr>
        <w:pStyle w:val="2"/>
        <w:spacing w:before="93"/>
        <w:jc w:val="center"/>
        <w:rPr>
          <w:rFonts w:hAnsi="仿宋_GB2312" w:cs="仿宋_GB2312"/>
          <w:color w:val="000000" w:themeColor="text1"/>
          <w:sz w:val="32"/>
          <w:szCs w:val="32"/>
        </w:rPr>
      </w:pPr>
      <w:r>
        <w:drawing>
          <wp:anchor distT="0" distB="0" distL="114300" distR="114300" simplePos="0" relativeHeight="251660288" behindDoc="0" locked="0" layoutInCell="1" allowOverlap="1">
            <wp:simplePos x="0" y="0"/>
            <wp:positionH relativeFrom="column">
              <wp:posOffset>546100</wp:posOffset>
            </wp:positionH>
            <wp:positionV relativeFrom="paragraph">
              <wp:posOffset>76200</wp:posOffset>
            </wp:positionV>
            <wp:extent cx="4556125" cy="2854325"/>
            <wp:effectExtent l="6350" t="6350" r="9525" b="1968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hAnsi="仿宋_GB2312" w:cs="仿宋_GB2312"/>
          <w:color w:val="000000" w:themeColor="text1"/>
          <w:sz w:val="32"/>
          <w:szCs w:val="32"/>
        </w:rPr>
        <w:t>图2：收入决算结构图</w:t>
      </w:r>
    </w:p>
    <w:p>
      <w:pPr>
        <w:pStyle w:val="26"/>
        <w:adjustRightInd w:val="0"/>
        <w:snapToGrid w:val="0"/>
        <w:spacing w:line="560" w:lineRule="exact"/>
        <w:ind w:left="-720" w:firstLine="1280" w:firstLineChars="400"/>
        <w:outlineLvl w:val="1"/>
        <w:rPr>
          <w:rStyle w:val="28"/>
          <w:rFonts w:ascii="黑体" w:hAnsi="黑体" w:eastAsia="黑体"/>
          <w:b w:val="0"/>
        </w:rPr>
      </w:pPr>
      <w:bookmarkStart w:id="24" w:name="_Toc15377207"/>
      <w:bookmarkStart w:id="25" w:name="_Toc15396605"/>
      <w:r>
        <w:rPr>
          <w:rFonts w:hint="eastAsia" w:ascii="黑体" w:hAnsi="黑体" w:eastAsia="黑体"/>
          <w:color w:val="000000"/>
          <w:sz w:val="32"/>
          <w:szCs w:val="32"/>
        </w:rPr>
        <w:t>三、支</w:t>
      </w:r>
      <w:r>
        <w:rPr>
          <w:rStyle w:val="28"/>
          <w:rFonts w:hint="eastAsia" w:ascii="黑体" w:hAnsi="黑体" w:eastAsia="黑体"/>
          <w:b w:val="0"/>
        </w:rPr>
        <w:t>出决算情况说明</w:t>
      </w:r>
      <w:bookmarkEnd w:id="24"/>
      <w:bookmarkEnd w:id="25"/>
    </w:p>
    <w:p>
      <w:pPr>
        <w:adjustRightInd w:val="0"/>
        <w:snapToGrid w:val="0"/>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2020年本年支出合计</w:t>
      </w:r>
      <w:r>
        <w:rPr>
          <w:rFonts w:ascii="仿宋_GB2312" w:hAnsi="仿宋_GB2312" w:eastAsia="仿宋_GB2312" w:cs="仿宋_GB2312"/>
          <w:color w:val="000000"/>
          <w:sz w:val="32"/>
          <w:szCs w:val="32"/>
        </w:rPr>
        <w:t>4314.47</w:t>
      </w:r>
      <w:r>
        <w:rPr>
          <w:rFonts w:hint="eastAsia" w:ascii="仿宋_GB2312" w:hAnsi="仿宋_GB2312" w:eastAsia="仿宋_GB2312" w:cs="仿宋_GB2312"/>
          <w:color w:val="000000"/>
          <w:sz w:val="32"/>
          <w:szCs w:val="32"/>
        </w:rPr>
        <w:t>万元，其中：基本支出</w:t>
      </w:r>
      <w:r>
        <w:rPr>
          <w:rFonts w:ascii="仿宋_GB2312" w:hAnsi="仿宋_GB2312" w:eastAsia="仿宋_GB2312" w:cs="仿宋_GB2312"/>
          <w:color w:val="000000"/>
          <w:sz w:val="32"/>
          <w:szCs w:val="32"/>
        </w:rPr>
        <w:t>2704.43</w:t>
      </w:r>
      <w:r>
        <w:rPr>
          <w:rFonts w:hint="eastAsia" w:ascii="仿宋_GB2312" w:hAnsi="仿宋_GB2312" w:eastAsia="仿宋_GB2312" w:cs="仿宋_GB2312"/>
          <w:color w:val="000000"/>
          <w:sz w:val="32"/>
          <w:szCs w:val="32"/>
        </w:rPr>
        <w:t>万元，占62.68%；项目支出</w:t>
      </w:r>
      <w:r>
        <w:rPr>
          <w:rFonts w:ascii="仿宋_GB2312" w:hAnsi="仿宋_GB2312" w:eastAsia="仿宋_GB2312" w:cs="仿宋_GB2312"/>
          <w:color w:val="000000"/>
          <w:sz w:val="32"/>
          <w:szCs w:val="32"/>
        </w:rPr>
        <w:t>1610.04</w:t>
      </w:r>
      <w:r>
        <w:rPr>
          <w:rFonts w:hint="eastAsia" w:ascii="仿宋_GB2312" w:hAnsi="仿宋_GB2312" w:eastAsia="仿宋_GB2312" w:cs="仿宋_GB2312"/>
          <w:color w:val="000000"/>
          <w:sz w:val="32"/>
          <w:szCs w:val="32"/>
        </w:rPr>
        <w:t>万元，占37.32%。</w:t>
      </w:r>
    </w:p>
    <w:p>
      <w:pPr>
        <w:pStyle w:val="2"/>
        <w:spacing w:before="93"/>
        <w:jc w:val="center"/>
        <w:rPr>
          <w:rFonts w:hAnsi="仿宋_GB2312" w:cs="仿宋_GB2312"/>
          <w:color w:val="000000" w:themeColor="text1"/>
          <w:sz w:val="32"/>
          <w:szCs w:val="32"/>
        </w:rPr>
      </w:pPr>
      <w:r>
        <w:drawing>
          <wp:anchor distT="0" distB="0" distL="114300" distR="114300" simplePos="0" relativeHeight="251661312" behindDoc="0" locked="0" layoutInCell="1" allowOverlap="1">
            <wp:simplePos x="0" y="0"/>
            <wp:positionH relativeFrom="column">
              <wp:posOffset>647700</wp:posOffset>
            </wp:positionH>
            <wp:positionV relativeFrom="paragraph">
              <wp:posOffset>34290</wp:posOffset>
            </wp:positionV>
            <wp:extent cx="4587875" cy="2879725"/>
            <wp:effectExtent l="6350" t="6350" r="8255" b="95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hAnsi="仿宋_GB2312" w:cs="仿宋_GB2312"/>
          <w:color w:val="000000" w:themeColor="text1"/>
          <w:sz w:val="32"/>
          <w:szCs w:val="32"/>
        </w:rPr>
        <w:t>图3：支出决算结构图</w:t>
      </w:r>
      <w:bookmarkStart w:id="26" w:name="_Toc15396606"/>
      <w:bookmarkStart w:id="27" w:name="_Toc15377208"/>
    </w:p>
    <w:p>
      <w:pPr>
        <w:adjustRightInd w:val="0"/>
        <w:snapToGrid w:val="0"/>
        <w:spacing w:line="560" w:lineRule="exact"/>
        <w:ind w:firstLine="640" w:firstLineChars="200"/>
        <w:outlineLvl w:val="1"/>
        <w:rPr>
          <w:rStyle w:val="28"/>
          <w:rFonts w:ascii="黑体" w:hAnsi="黑体" w:eastAsia="黑体"/>
          <w:b w:val="0"/>
        </w:rPr>
      </w:pPr>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6"/>
      <w:bookmarkEnd w:id="27"/>
    </w:p>
    <w:p>
      <w:pPr>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2020年财政拨款收、支总计4314.42万元。与2019年相比，财政拨款收、支总计各减少2440.25万元，下降36.13%。主要变动原因是2019年安排省属企业供销综合改革及发展资金3000万元，2020年未安排。</w:t>
      </w:r>
    </w:p>
    <w:p>
      <w:pPr>
        <w:pStyle w:val="2"/>
        <w:spacing w:before="93"/>
        <w:jc w:val="center"/>
        <w:rPr>
          <w:rFonts w:hAnsi="仿宋_GB2312" w:cs="仿宋_GB2312"/>
          <w:color w:val="000000" w:themeColor="text1"/>
          <w:sz w:val="32"/>
          <w:szCs w:val="32"/>
        </w:rPr>
      </w:pPr>
      <w:r>
        <w:drawing>
          <wp:anchor distT="0" distB="0" distL="114300" distR="114300" simplePos="0" relativeHeight="251662336" behindDoc="0" locked="0" layoutInCell="1" allowOverlap="1">
            <wp:simplePos x="0" y="0"/>
            <wp:positionH relativeFrom="column">
              <wp:posOffset>476250</wp:posOffset>
            </wp:positionH>
            <wp:positionV relativeFrom="paragraph">
              <wp:posOffset>85090</wp:posOffset>
            </wp:positionV>
            <wp:extent cx="4862195" cy="2876550"/>
            <wp:effectExtent l="6350" t="6350" r="8255" b="12700"/>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hAnsi="仿宋_GB2312" w:cs="仿宋_GB2312"/>
          <w:color w:val="000000" w:themeColor="text1"/>
          <w:sz w:val="32"/>
          <w:szCs w:val="32"/>
        </w:rPr>
        <w:t>图4：财政拨款收、支决算总计变动情况</w:t>
      </w:r>
    </w:p>
    <w:p>
      <w:pPr>
        <w:adjustRightInd w:val="0"/>
        <w:snapToGrid w:val="0"/>
        <w:spacing w:line="560" w:lineRule="exact"/>
        <w:ind w:firstLine="640" w:firstLineChars="200"/>
        <w:outlineLvl w:val="1"/>
        <w:rPr>
          <w:rStyle w:val="28"/>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28"/>
      <w:bookmarkEnd w:id="29"/>
    </w:p>
    <w:p>
      <w:pPr>
        <w:adjustRightInd w:val="0"/>
        <w:snapToGrid w:val="0"/>
        <w:spacing w:line="560" w:lineRule="exact"/>
        <w:ind w:firstLine="643" w:firstLineChars="200"/>
        <w:outlineLvl w:val="2"/>
        <w:rPr>
          <w:rFonts w:ascii="仿宋" w:hAnsi="仿宋" w:eastAsia="仿宋"/>
          <w:b/>
          <w:color w:val="000000"/>
          <w:sz w:val="32"/>
          <w:szCs w:val="32"/>
        </w:rPr>
      </w:pPr>
      <w:bookmarkStart w:id="30" w:name="_Toc15377210"/>
      <w:r>
        <w:rPr>
          <w:rFonts w:hint="eastAsia" w:ascii="方正楷体_GBK" w:hAnsi="方正楷体_GBK" w:eastAsia="方正楷体_GBK" w:cs="方正楷体_GBK"/>
          <w:b/>
          <w:color w:val="000000"/>
          <w:sz w:val="32"/>
          <w:szCs w:val="32"/>
        </w:rPr>
        <w:t>（一）一般公共预算财政拨款支出决算总体情况</w:t>
      </w:r>
      <w:bookmarkEnd w:id="30"/>
    </w:p>
    <w:p>
      <w:pPr>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支出4314.42万元，占本年支出合计的100%。与2019年相比，一般公共预算财政拨款减少2440.25万元，下降36.13%。主要变动原因是2019年安排省属企业供销综合改革及发展资金3000万元，2020年未安排。</w:t>
      </w:r>
    </w:p>
    <w:p>
      <w:pPr>
        <w:pStyle w:val="2"/>
        <w:spacing w:before="93"/>
        <w:rPr>
          <w:rFonts w:hAnsi="仿宋_GB2312" w:cs="仿宋_GB2312"/>
          <w:color w:val="000000"/>
          <w:sz w:val="32"/>
          <w:szCs w:val="32"/>
        </w:rPr>
      </w:pPr>
    </w:p>
    <w:p>
      <w:pPr>
        <w:pStyle w:val="2"/>
        <w:spacing w:before="93"/>
        <w:jc w:val="center"/>
        <w:rPr>
          <w:rFonts w:hAnsi="仿宋_GB2312" w:cs="仿宋_GB2312"/>
          <w:color w:val="000000" w:themeColor="text1"/>
          <w:sz w:val="32"/>
          <w:szCs w:val="32"/>
        </w:rPr>
      </w:pPr>
      <w:r>
        <w:drawing>
          <wp:anchor distT="0" distB="0" distL="114300" distR="114300" simplePos="0" relativeHeight="251663360" behindDoc="0" locked="0" layoutInCell="1" allowOverlap="1">
            <wp:simplePos x="0" y="0"/>
            <wp:positionH relativeFrom="column">
              <wp:posOffset>546100</wp:posOffset>
            </wp:positionH>
            <wp:positionV relativeFrom="paragraph">
              <wp:posOffset>29210</wp:posOffset>
            </wp:positionV>
            <wp:extent cx="4693285" cy="3031490"/>
            <wp:effectExtent l="6350" t="6350" r="9525" b="10160"/>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hAnsi="仿宋_GB2312" w:cs="仿宋_GB2312"/>
          <w:color w:val="000000" w:themeColor="text1"/>
          <w:sz w:val="32"/>
          <w:szCs w:val="32"/>
        </w:rPr>
        <w:t>图5：一般公共预算财政拨款支出决算变动情况</w:t>
      </w:r>
      <w:bookmarkStart w:id="31" w:name="_Toc15377211"/>
    </w:p>
    <w:p>
      <w:pPr>
        <w:adjustRightInd w:val="0"/>
        <w:snapToGrid w:val="0"/>
        <w:spacing w:line="560" w:lineRule="exact"/>
        <w:ind w:firstLine="643" w:firstLineChars="200"/>
        <w:outlineLvl w:val="2"/>
        <w:rPr>
          <w:rFonts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（二）一般公共预算财政拨款支出决算结构情况</w:t>
      </w:r>
      <w:bookmarkEnd w:id="31"/>
    </w:p>
    <w:p>
      <w:pPr>
        <w:adjustRightInd w:val="0"/>
        <w:snapToGrid w:val="0"/>
        <w:spacing w:line="56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2020年一般公共预算财</w:t>
      </w:r>
      <w:r>
        <w:rPr>
          <w:rFonts w:hint="eastAsia" w:ascii="仿宋_GB2312" w:hAnsi="仿宋_GB2312" w:eastAsia="仿宋_GB2312" w:cs="仿宋_GB2312"/>
          <w:color w:val="000000" w:themeColor="text1"/>
          <w:sz w:val="32"/>
          <w:szCs w:val="32"/>
        </w:rPr>
        <w:t>政拨款支出4314.42万元，主要用于以下方面:</w:t>
      </w:r>
      <w:r>
        <w:rPr>
          <w:rFonts w:hint="eastAsia" w:ascii="仿宋_GB2312" w:hAnsi="仿宋_GB2312" w:eastAsia="仿宋_GB2312" w:cs="仿宋_GB2312"/>
          <w:b/>
          <w:color w:val="000000" w:themeColor="text1"/>
          <w:sz w:val="32"/>
          <w:szCs w:val="32"/>
        </w:rPr>
        <w:t>一般公共服务</w:t>
      </w:r>
      <w:r>
        <w:rPr>
          <w:rFonts w:hint="eastAsia" w:ascii="仿宋_GB2312" w:hAnsi="仿宋_GB2312" w:eastAsia="仿宋_GB2312" w:cs="仿宋_GB2312"/>
          <w:b/>
          <w:bCs/>
          <w:color w:val="000000" w:themeColor="text1"/>
          <w:sz w:val="32"/>
          <w:szCs w:val="32"/>
        </w:rPr>
        <w:t>支出</w:t>
      </w:r>
      <w:r>
        <w:rPr>
          <w:rFonts w:hint="eastAsia" w:ascii="仿宋_GB2312" w:hAnsi="仿宋_GB2312" w:eastAsia="仿宋_GB2312" w:cs="仿宋_GB2312"/>
          <w:color w:val="000000" w:themeColor="text1"/>
          <w:sz w:val="32"/>
          <w:szCs w:val="32"/>
        </w:rPr>
        <w:t>325.95万元，占7.55%；</w:t>
      </w:r>
      <w:r>
        <w:rPr>
          <w:rFonts w:hint="eastAsia" w:ascii="仿宋_GB2312" w:hAnsi="仿宋_GB2312" w:eastAsia="仿宋_GB2312" w:cs="仿宋_GB2312"/>
          <w:b/>
          <w:color w:val="000000" w:themeColor="text1"/>
          <w:sz w:val="32"/>
          <w:szCs w:val="32"/>
        </w:rPr>
        <w:t>教育支出</w:t>
      </w:r>
      <w:r>
        <w:rPr>
          <w:rFonts w:hint="eastAsia" w:ascii="仿宋_GB2312" w:hAnsi="仿宋_GB2312" w:eastAsia="仿宋_GB2312" w:cs="仿宋_GB2312"/>
          <w:bCs/>
          <w:color w:val="000000" w:themeColor="text1"/>
          <w:sz w:val="32"/>
          <w:szCs w:val="32"/>
        </w:rPr>
        <w:t>12.04</w:t>
      </w:r>
      <w:r>
        <w:rPr>
          <w:rFonts w:hint="eastAsia" w:ascii="仿宋_GB2312" w:hAnsi="仿宋_GB2312" w:eastAsia="仿宋_GB2312" w:cs="仿宋_GB2312"/>
          <w:color w:val="000000" w:themeColor="text1"/>
          <w:sz w:val="32"/>
          <w:szCs w:val="32"/>
        </w:rPr>
        <w:t>万元，占0.28%；</w:t>
      </w:r>
      <w:r>
        <w:rPr>
          <w:rFonts w:hint="eastAsia" w:ascii="仿宋_GB2312" w:hAnsi="仿宋_GB2312" w:eastAsia="仿宋_GB2312" w:cs="仿宋_GB2312"/>
          <w:b/>
          <w:color w:val="000000" w:themeColor="text1"/>
          <w:sz w:val="32"/>
          <w:szCs w:val="32"/>
        </w:rPr>
        <w:t>社会保障和就业</w:t>
      </w:r>
      <w:r>
        <w:rPr>
          <w:rFonts w:hint="eastAsia" w:ascii="仿宋_GB2312" w:hAnsi="仿宋_GB2312" w:eastAsia="仿宋_GB2312" w:cs="仿宋_GB2312"/>
          <w:b/>
          <w:bCs/>
          <w:color w:val="000000" w:themeColor="text1"/>
          <w:sz w:val="32"/>
          <w:szCs w:val="32"/>
        </w:rPr>
        <w:t>支出</w:t>
      </w:r>
      <w:r>
        <w:rPr>
          <w:rFonts w:hint="eastAsia" w:ascii="仿宋_GB2312" w:hAnsi="仿宋_GB2312" w:eastAsia="仿宋_GB2312" w:cs="仿宋_GB2312"/>
          <w:color w:val="000000" w:themeColor="text1"/>
          <w:sz w:val="32"/>
          <w:szCs w:val="32"/>
        </w:rPr>
        <w:t>708.50万元，占16.42%；</w:t>
      </w:r>
      <w:r>
        <w:rPr>
          <w:rFonts w:hint="eastAsia" w:ascii="仿宋_GB2312" w:hAnsi="仿宋_GB2312" w:eastAsia="仿宋_GB2312" w:cs="仿宋_GB2312"/>
          <w:b/>
          <w:bCs/>
          <w:color w:val="000000" w:themeColor="text1"/>
          <w:sz w:val="32"/>
          <w:szCs w:val="32"/>
        </w:rPr>
        <w:t>卫生健康支出</w:t>
      </w:r>
      <w:r>
        <w:rPr>
          <w:rFonts w:hint="eastAsia" w:ascii="仿宋_GB2312" w:hAnsi="仿宋_GB2312" w:eastAsia="仿宋_GB2312" w:cs="仿宋_GB2312"/>
          <w:color w:val="000000" w:themeColor="text1"/>
          <w:sz w:val="32"/>
          <w:szCs w:val="32"/>
        </w:rPr>
        <w:t>137.08万元，占3.18%；</w:t>
      </w:r>
      <w:r>
        <w:rPr>
          <w:rFonts w:hint="eastAsia" w:ascii="仿宋_GB2312" w:hAnsi="仿宋_GB2312" w:eastAsia="仿宋_GB2312" w:cs="仿宋_GB2312"/>
          <w:b/>
          <w:bCs/>
          <w:color w:val="000000" w:themeColor="text1"/>
          <w:sz w:val="32"/>
          <w:szCs w:val="32"/>
        </w:rPr>
        <w:t>商业服务业等支出</w:t>
      </w:r>
      <w:r>
        <w:rPr>
          <w:rFonts w:hint="eastAsia" w:ascii="仿宋_GB2312" w:hAnsi="仿宋_GB2312" w:eastAsia="仿宋_GB2312" w:cs="仿宋_GB2312"/>
          <w:color w:val="000000" w:themeColor="text1"/>
          <w:sz w:val="32"/>
          <w:szCs w:val="32"/>
        </w:rPr>
        <w:t>1433.42万元，占33.22%；</w:t>
      </w:r>
      <w:r>
        <w:rPr>
          <w:rFonts w:hint="eastAsia" w:ascii="仿宋_GB2312" w:hAnsi="仿宋_GB2312" w:eastAsia="仿宋_GB2312" w:cs="仿宋_GB2312"/>
          <w:b/>
          <w:bCs/>
          <w:color w:val="000000" w:themeColor="text1"/>
          <w:sz w:val="32"/>
          <w:szCs w:val="32"/>
        </w:rPr>
        <w:t>住房保障支出</w:t>
      </w:r>
      <w:r>
        <w:rPr>
          <w:rFonts w:hint="eastAsia" w:ascii="仿宋_GB2312" w:hAnsi="仿宋_GB2312" w:eastAsia="仿宋_GB2312" w:cs="仿宋_GB2312"/>
          <w:color w:val="000000" w:themeColor="text1"/>
          <w:sz w:val="32"/>
          <w:szCs w:val="32"/>
        </w:rPr>
        <w:t>282.43万元，占6.55%；</w:t>
      </w:r>
      <w:r>
        <w:rPr>
          <w:rFonts w:hint="eastAsia" w:ascii="仿宋_GB2312" w:hAnsi="仿宋_GB2312" w:eastAsia="仿宋_GB2312" w:cs="仿宋_GB2312"/>
          <w:b/>
          <w:color w:val="000000" w:themeColor="text1"/>
          <w:sz w:val="32"/>
          <w:szCs w:val="32"/>
        </w:rPr>
        <w:t>粮油物资储备</w:t>
      </w:r>
      <w:r>
        <w:rPr>
          <w:rFonts w:hint="eastAsia" w:ascii="仿宋_GB2312" w:hAnsi="仿宋_GB2312" w:eastAsia="仿宋_GB2312" w:cs="仿宋_GB2312"/>
          <w:b/>
          <w:bCs/>
          <w:color w:val="000000" w:themeColor="text1"/>
          <w:sz w:val="32"/>
          <w:szCs w:val="32"/>
        </w:rPr>
        <w:t>支出</w:t>
      </w:r>
      <w:r>
        <w:rPr>
          <w:rFonts w:hint="eastAsia" w:ascii="仿宋_GB2312" w:hAnsi="仿宋_GB2312" w:eastAsia="仿宋_GB2312" w:cs="仿宋_GB2312"/>
          <w:color w:val="000000" w:themeColor="text1"/>
          <w:sz w:val="32"/>
          <w:szCs w:val="32"/>
        </w:rPr>
        <w:t>1410万元，占32.68%；</w:t>
      </w:r>
      <w:r>
        <w:rPr>
          <w:rFonts w:hint="eastAsia" w:ascii="仿宋_GB2312" w:hAnsi="仿宋_GB2312" w:eastAsia="仿宋_GB2312" w:cs="仿宋_GB2312"/>
          <w:b/>
          <w:bCs/>
          <w:color w:val="000000" w:themeColor="text1"/>
          <w:sz w:val="32"/>
          <w:szCs w:val="32"/>
        </w:rPr>
        <w:t>灾害防治及应急管理支出</w:t>
      </w:r>
      <w:r>
        <w:rPr>
          <w:rFonts w:hint="eastAsia" w:ascii="仿宋_GB2312" w:hAnsi="仿宋_GB2312" w:eastAsia="仿宋_GB2312" w:cs="仿宋_GB2312"/>
          <w:color w:val="000000" w:themeColor="text1"/>
          <w:sz w:val="32"/>
          <w:szCs w:val="32"/>
        </w:rPr>
        <w:t>5万元，占0.12%。</w:t>
      </w:r>
    </w:p>
    <w:p>
      <w:pPr>
        <w:adjustRightInd w:val="0"/>
        <w:snapToGrid w:val="0"/>
        <w:spacing w:line="560" w:lineRule="exact"/>
        <w:ind w:firstLine="420" w:firstLineChars="200"/>
        <w:rPr>
          <w:rFonts w:ascii="仿宋_GB2312" w:hAnsi="仿宋_GB2312" w:eastAsia="仿宋_GB2312" w:cs="仿宋_GB2312"/>
          <w:color w:val="000000"/>
          <w:sz w:val="32"/>
          <w:szCs w:val="32"/>
        </w:rPr>
      </w:pPr>
      <w:r>
        <w:drawing>
          <wp:anchor distT="0" distB="0" distL="114300" distR="114300" simplePos="0" relativeHeight="251664384" behindDoc="0" locked="0" layoutInCell="1" allowOverlap="1">
            <wp:simplePos x="0" y="0"/>
            <wp:positionH relativeFrom="column">
              <wp:posOffset>425450</wp:posOffset>
            </wp:positionH>
            <wp:positionV relativeFrom="paragraph">
              <wp:posOffset>410210</wp:posOffset>
            </wp:positionV>
            <wp:extent cx="5013325" cy="3220720"/>
            <wp:effectExtent l="6350" t="6350" r="9525" b="19050"/>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adjustRightInd w:val="0"/>
        <w:snapToGrid w:val="0"/>
        <w:spacing w:line="560" w:lineRule="exact"/>
        <w:ind w:firstLine="960" w:firstLineChars="300"/>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图6：一般公共预算财政拨款支出决算结构</w:t>
      </w:r>
    </w:p>
    <w:p>
      <w:pPr>
        <w:adjustRightInd w:val="0"/>
        <w:snapToGrid w:val="0"/>
        <w:spacing w:line="560" w:lineRule="exact"/>
        <w:ind w:firstLine="643" w:firstLineChars="200"/>
        <w:outlineLvl w:val="2"/>
        <w:rPr>
          <w:rFonts w:ascii="方正楷体_GBK" w:hAnsi="方正楷体_GBK" w:eastAsia="方正楷体_GBK" w:cs="方正楷体_GBK"/>
          <w:b/>
          <w:color w:val="000000"/>
          <w:sz w:val="32"/>
          <w:szCs w:val="32"/>
        </w:rPr>
      </w:pPr>
      <w:bookmarkStart w:id="32" w:name="_Toc15377212"/>
      <w:r>
        <w:rPr>
          <w:rFonts w:hint="eastAsia" w:ascii="方正楷体_GBK" w:hAnsi="方正楷体_GBK" w:eastAsia="方正楷体_GBK" w:cs="方正楷体_GBK"/>
          <w:b/>
          <w:color w:val="000000"/>
          <w:sz w:val="32"/>
          <w:szCs w:val="32"/>
        </w:rPr>
        <w:t>（三）一般公共预算财政拨款支出决算具体情况</w:t>
      </w:r>
      <w:bookmarkEnd w:id="32"/>
    </w:p>
    <w:p>
      <w:pPr>
        <w:adjustRightInd w:val="0"/>
        <w:snapToGrid w:val="0"/>
        <w:spacing w:line="560" w:lineRule="exact"/>
        <w:ind w:firstLine="643" w:firstLineChars="200"/>
        <w:outlineLvl w:val="2"/>
        <w:rPr>
          <w:rFonts w:ascii="仿宋_GB2312" w:hAnsi="仿宋_GB2312" w:eastAsia="仿宋_GB2312" w:cs="仿宋_GB2312"/>
          <w:sz w:val="32"/>
          <w:szCs w:val="32"/>
        </w:rPr>
      </w:pPr>
      <w:bookmarkStart w:id="33" w:name="_Toc15377444"/>
      <w:bookmarkStart w:id="34" w:name="_Toc15377213"/>
      <w:bookmarkStart w:id="35" w:name="_Toc15378460"/>
      <w:r>
        <w:rPr>
          <w:rFonts w:hint="eastAsia" w:ascii="仿宋_GB2312" w:hAnsi="仿宋_GB2312" w:eastAsia="仿宋_GB2312" w:cs="仿宋_GB2312"/>
          <w:b/>
          <w:sz w:val="32"/>
          <w:szCs w:val="32"/>
        </w:rPr>
        <w:t>2020年一般公共预算支出决算数为4314.42万元</w:t>
      </w:r>
      <w:r>
        <w:rPr>
          <w:rFonts w:hint="eastAsia" w:ascii="仿宋_GB2312" w:hAnsi="仿宋_GB2312" w:eastAsia="仿宋_GB2312" w:cs="仿宋_GB2312"/>
          <w:sz w:val="32"/>
          <w:szCs w:val="32"/>
        </w:rPr>
        <w:t>，</w:t>
      </w:r>
      <w:r>
        <w:rPr>
          <w:rStyle w:val="16"/>
          <w:rFonts w:hint="eastAsia" w:ascii="仿宋_GB2312" w:hAnsi="仿宋_GB2312" w:eastAsia="仿宋_GB2312" w:cs="仿宋_GB2312"/>
          <w:bCs/>
          <w:sz w:val="32"/>
          <w:szCs w:val="32"/>
        </w:rPr>
        <w:t>完成预算99.51%。其中：</w:t>
      </w:r>
      <w:bookmarkEnd w:id="33"/>
      <w:bookmarkEnd w:id="34"/>
      <w:bookmarkEnd w:id="35"/>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1.一般公共服务支出（类）商贸事务（款）行政运行（项）:</w:t>
      </w:r>
      <w:r>
        <w:rPr>
          <w:rStyle w:val="16"/>
          <w:rFonts w:hint="eastAsia" w:ascii="仿宋_GB2312" w:hAnsi="仿宋_GB2312" w:eastAsia="仿宋_GB2312" w:cs="仿宋_GB2312"/>
          <w:b w:val="0"/>
          <w:bCs/>
          <w:sz w:val="32"/>
          <w:szCs w:val="32"/>
        </w:rPr>
        <w:t xml:space="preserve"> 支出决算为291.45万元，与预算数持平；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2.一般公共服务支出（类）其他一般公共服务支出（款）其他一般公共服务支出（项）</w:t>
      </w:r>
      <w:r>
        <w:rPr>
          <w:rStyle w:val="16"/>
          <w:rFonts w:hint="eastAsia" w:ascii="仿宋_GB2312" w:hAnsi="仿宋_GB2312" w:eastAsia="仿宋_GB2312" w:cs="仿宋_GB2312"/>
          <w:b w:val="0"/>
          <w:bCs/>
          <w:sz w:val="32"/>
          <w:szCs w:val="32"/>
        </w:rPr>
        <w:t>支出决算为34.5万元，与预算数持平；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3.教育支出（类）进修及培训（款）培训支出（项）:</w:t>
      </w:r>
      <w:r>
        <w:rPr>
          <w:rStyle w:val="16"/>
          <w:rFonts w:hint="eastAsia" w:ascii="仿宋_GB2312" w:hAnsi="仿宋_GB2312" w:eastAsia="仿宋_GB2312" w:cs="仿宋_GB2312"/>
          <w:b w:val="0"/>
          <w:bCs/>
          <w:sz w:val="32"/>
          <w:szCs w:val="32"/>
        </w:rPr>
        <w:t>支出决算为12.04万元，与预算数持平；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4.社会保障和就业（类）行政事业单位养老支出（款）行政单位离退休（项）:</w:t>
      </w:r>
      <w:r>
        <w:rPr>
          <w:rStyle w:val="16"/>
          <w:rFonts w:hint="eastAsia" w:ascii="仿宋_GB2312" w:hAnsi="仿宋_GB2312" w:eastAsia="仿宋_GB2312" w:cs="仿宋_GB2312"/>
          <w:b w:val="0"/>
          <w:bCs/>
          <w:sz w:val="32"/>
          <w:szCs w:val="32"/>
        </w:rPr>
        <w:t xml:space="preserve"> 支出决算为377.26万元，完成预算的98.48%，决算数小于预算数的主要原因是省社机关离休费经费结余5.83万元，年底财政收回；</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5.社会保障和就业（类）行政事业单位养老支出（款）</w:t>
      </w:r>
      <w:r>
        <w:rPr>
          <w:rStyle w:val="16"/>
          <w:rFonts w:hint="eastAsia" w:ascii="仿宋_GB2312" w:hAnsi="仿宋_GB2312" w:eastAsia="仿宋_GB2312" w:cs="仿宋_GB2312"/>
          <w:sz w:val="32"/>
          <w:szCs w:val="32"/>
        </w:rPr>
        <w:t>机关事业单位养老保险缴费支出（项）：</w:t>
      </w:r>
      <w:r>
        <w:rPr>
          <w:rStyle w:val="16"/>
          <w:rFonts w:hint="eastAsia" w:ascii="仿宋_GB2312" w:hAnsi="仿宋_GB2312" w:eastAsia="仿宋_GB2312" w:cs="仿宋_GB2312"/>
          <w:b w:val="0"/>
          <w:bCs/>
          <w:sz w:val="32"/>
          <w:szCs w:val="32"/>
        </w:rPr>
        <w:t>支出决算为133.47万元，与预算数持平；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6.社会保障和就业（类）行政事业单位养老支出（款）</w:t>
      </w:r>
      <w:r>
        <w:rPr>
          <w:rStyle w:val="16"/>
          <w:rFonts w:hint="eastAsia" w:ascii="仿宋_GB2312" w:hAnsi="仿宋_GB2312" w:eastAsia="仿宋_GB2312" w:cs="仿宋_GB2312"/>
          <w:sz w:val="32"/>
          <w:szCs w:val="32"/>
        </w:rPr>
        <w:t>机关事业单位职业年金缴费支出（项）：</w:t>
      </w:r>
      <w:r>
        <w:rPr>
          <w:rStyle w:val="16"/>
          <w:rFonts w:hint="eastAsia" w:ascii="仿宋_GB2312" w:hAnsi="仿宋_GB2312" w:eastAsia="仿宋_GB2312" w:cs="仿宋_GB2312"/>
          <w:b w:val="0"/>
          <w:bCs/>
          <w:sz w:val="32"/>
          <w:szCs w:val="32"/>
        </w:rPr>
        <w:t>支出决算为8.66万元，与预算数持平；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7.社会保障和就业（类）</w:t>
      </w:r>
      <w:r>
        <w:rPr>
          <w:rStyle w:val="16"/>
          <w:rFonts w:hint="eastAsia" w:ascii="仿宋_GB2312" w:hAnsi="仿宋_GB2312" w:eastAsia="仿宋_GB2312" w:cs="仿宋_GB2312"/>
          <w:sz w:val="32"/>
          <w:szCs w:val="32"/>
        </w:rPr>
        <w:t>抚恤（款）死亡抚恤（项）：</w:t>
      </w:r>
      <w:r>
        <w:rPr>
          <w:rStyle w:val="16"/>
          <w:rFonts w:hint="eastAsia" w:ascii="仿宋_GB2312" w:hAnsi="仿宋_GB2312" w:eastAsia="仿宋_GB2312" w:cs="仿宋_GB2312"/>
          <w:b w:val="0"/>
          <w:bCs/>
          <w:sz w:val="32"/>
          <w:szCs w:val="32"/>
        </w:rPr>
        <w:t>支出决算为69.72万元，与预算数持平；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8.社会保障和就业（类）</w:t>
      </w:r>
      <w:r>
        <w:rPr>
          <w:rStyle w:val="16"/>
          <w:rFonts w:hint="eastAsia" w:ascii="仿宋_GB2312" w:hAnsi="仿宋_GB2312" w:eastAsia="仿宋_GB2312" w:cs="仿宋_GB2312"/>
          <w:sz w:val="32"/>
          <w:szCs w:val="32"/>
        </w:rPr>
        <w:t>其他社会保障和就业支出（款）其他社会保障和就业支出（项）：</w:t>
      </w:r>
      <w:r>
        <w:rPr>
          <w:rStyle w:val="16"/>
          <w:rFonts w:hint="eastAsia" w:ascii="仿宋_GB2312" w:hAnsi="仿宋_GB2312" w:eastAsia="仿宋_GB2312" w:cs="仿宋_GB2312"/>
          <w:b w:val="0"/>
          <w:bCs/>
          <w:sz w:val="32"/>
          <w:szCs w:val="32"/>
        </w:rPr>
        <w:t>支出决算为119.39万元，与预算数持平；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9.</w:t>
      </w:r>
      <w:r>
        <w:rPr>
          <w:rFonts w:hint="eastAsia" w:ascii="仿宋_GB2312" w:hAnsi="仿宋_GB2312" w:eastAsia="仿宋_GB2312" w:cs="仿宋_GB2312"/>
          <w:b/>
          <w:bCs/>
          <w:sz w:val="32"/>
          <w:szCs w:val="32"/>
        </w:rPr>
        <w:t>卫生健康</w:t>
      </w:r>
      <w:r>
        <w:rPr>
          <w:rStyle w:val="16"/>
          <w:rFonts w:hint="eastAsia" w:ascii="仿宋_GB2312" w:hAnsi="仿宋_GB2312" w:eastAsia="仿宋_GB2312" w:cs="仿宋_GB2312"/>
          <w:bCs/>
          <w:sz w:val="32"/>
          <w:szCs w:val="32"/>
        </w:rPr>
        <w:t>（类）行政事业单位医疗（款）行政单位医疗（项）：</w:t>
      </w:r>
      <w:r>
        <w:rPr>
          <w:rStyle w:val="16"/>
          <w:rFonts w:hint="eastAsia" w:ascii="仿宋_GB2312" w:hAnsi="仿宋_GB2312" w:eastAsia="仿宋_GB2312" w:cs="仿宋_GB2312"/>
          <w:b w:val="0"/>
          <w:bCs/>
          <w:sz w:val="32"/>
          <w:szCs w:val="32"/>
        </w:rPr>
        <w:t>支出决算为102.3万元，与预算数持平；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Fonts w:hint="eastAsia" w:ascii="仿宋_GB2312" w:hAnsi="仿宋_GB2312" w:eastAsia="仿宋_GB2312" w:cs="仿宋_GB2312"/>
          <w:b/>
          <w:bCs/>
          <w:sz w:val="32"/>
          <w:szCs w:val="32"/>
        </w:rPr>
        <w:t>10.卫生健康</w:t>
      </w:r>
      <w:r>
        <w:rPr>
          <w:rStyle w:val="16"/>
          <w:rFonts w:hint="eastAsia" w:ascii="仿宋_GB2312" w:hAnsi="仿宋_GB2312" w:eastAsia="仿宋_GB2312" w:cs="仿宋_GB2312"/>
          <w:bCs/>
          <w:sz w:val="32"/>
          <w:szCs w:val="32"/>
        </w:rPr>
        <w:t>（类）行政事业单位医疗（款）公务员医疗补助（项）:</w:t>
      </w:r>
      <w:r>
        <w:rPr>
          <w:rStyle w:val="16"/>
          <w:rFonts w:hint="eastAsia" w:ascii="仿宋_GB2312" w:hAnsi="仿宋_GB2312" w:eastAsia="仿宋_GB2312" w:cs="仿宋_GB2312"/>
          <w:b w:val="0"/>
          <w:bCs/>
          <w:sz w:val="32"/>
          <w:szCs w:val="32"/>
        </w:rPr>
        <w:t>支出决算为34.78万元，与预算数持平；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11.商业服务业等支出（类）商业流通事务（款）行政运行（项）:</w:t>
      </w:r>
      <w:r>
        <w:rPr>
          <w:rStyle w:val="16"/>
          <w:rFonts w:hint="eastAsia" w:ascii="仿宋_GB2312" w:hAnsi="仿宋_GB2312" w:eastAsia="仿宋_GB2312" w:cs="仿宋_GB2312"/>
          <w:b w:val="0"/>
          <w:bCs/>
          <w:sz w:val="32"/>
          <w:szCs w:val="32"/>
        </w:rPr>
        <w:t xml:space="preserve"> 支出决算为1221.7万元，完成预算99.67%，决算数小于预算数的主要原因是受疫情影响，公务接待费结余4.1万元；</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12.商业服务业等支出（类）商业流通事务（款）</w:t>
      </w:r>
      <w:r>
        <w:rPr>
          <w:rStyle w:val="16"/>
          <w:rFonts w:hint="eastAsia" w:ascii="仿宋_GB2312" w:hAnsi="仿宋_GB2312" w:eastAsia="仿宋_GB2312" w:cs="仿宋_GB2312"/>
          <w:sz w:val="32"/>
          <w:szCs w:val="32"/>
        </w:rPr>
        <w:t>一般行政管理事务（项）：</w:t>
      </w:r>
      <w:r>
        <w:rPr>
          <w:rStyle w:val="16"/>
          <w:rFonts w:hint="eastAsia" w:ascii="仿宋_GB2312" w:hAnsi="仿宋_GB2312" w:eastAsia="仿宋_GB2312" w:cs="仿宋_GB2312"/>
          <w:b w:val="0"/>
          <w:bCs/>
          <w:sz w:val="32"/>
          <w:szCs w:val="32"/>
        </w:rPr>
        <w:t>支出决算为210.02万元，完成预算94.95%，决算数小于预算数的主要原因是受疫情影响，省社机关会议费结余5.45万元；</w:t>
      </w:r>
    </w:p>
    <w:p>
      <w:pPr>
        <w:adjustRightInd w:val="0"/>
        <w:snapToGrid w:val="0"/>
        <w:spacing w:line="560" w:lineRule="exact"/>
        <w:ind w:firstLine="643" w:firstLineChars="200"/>
        <w:rPr>
          <w:rFonts w:ascii="仿宋_GB2312" w:hAnsi="仿宋_GB2312" w:eastAsia="仿宋_GB2312" w:cs="仿宋_GB2312"/>
          <w:b/>
          <w:sz w:val="32"/>
          <w:szCs w:val="32"/>
        </w:rPr>
      </w:pPr>
      <w:r>
        <w:rPr>
          <w:rStyle w:val="16"/>
          <w:rFonts w:hint="eastAsia" w:ascii="仿宋_GB2312" w:hAnsi="仿宋_GB2312" w:eastAsia="仿宋_GB2312" w:cs="仿宋_GB2312"/>
          <w:bCs/>
          <w:sz w:val="32"/>
          <w:szCs w:val="32"/>
        </w:rPr>
        <w:t>13.商业服务业等支出（类）商业流通事务（款）</w:t>
      </w:r>
      <w:r>
        <w:rPr>
          <w:rStyle w:val="16"/>
          <w:rFonts w:hint="eastAsia" w:ascii="仿宋_GB2312" w:hAnsi="仿宋_GB2312" w:eastAsia="仿宋_GB2312" w:cs="仿宋_GB2312"/>
          <w:sz w:val="32"/>
          <w:szCs w:val="32"/>
        </w:rPr>
        <w:t>其他商业流通事务支出（项）：</w:t>
      </w:r>
      <w:r>
        <w:rPr>
          <w:rStyle w:val="16"/>
          <w:rFonts w:hint="eastAsia" w:ascii="仿宋_GB2312" w:hAnsi="仿宋_GB2312" w:eastAsia="仿宋_GB2312" w:cs="仿宋_GB2312"/>
          <w:b w:val="0"/>
          <w:bCs/>
          <w:sz w:val="32"/>
          <w:szCs w:val="32"/>
        </w:rPr>
        <w:t>支出决算为1.7万元，与预算数持平；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14.住房保障支出（类）住房改革支出（款）住房公积金（项）:</w:t>
      </w:r>
      <w:r>
        <w:rPr>
          <w:rStyle w:val="16"/>
          <w:rFonts w:hint="eastAsia" w:ascii="仿宋_GB2312" w:hAnsi="仿宋_GB2312" w:eastAsia="仿宋_GB2312" w:cs="仿宋_GB2312"/>
          <w:b w:val="0"/>
          <w:bCs/>
          <w:sz w:val="32"/>
          <w:szCs w:val="32"/>
        </w:rPr>
        <w:t xml:space="preserve"> 支出决算为133.44万元，与预算数持平；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15.住房保障支出（类）住房改革支出（款）购房补贴（项）:</w:t>
      </w:r>
      <w:r>
        <w:rPr>
          <w:rStyle w:val="16"/>
          <w:rFonts w:hint="eastAsia" w:ascii="仿宋_GB2312" w:hAnsi="仿宋_GB2312" w:eastAsia="仿宋_GB2312" w:cs="仿宋_GB2312"/>
          <w:b w:val="0"/>
          <w:bCs/>
          <w:sz w:val="32"/>
          <w:szCs w:val="32"/>
        </w:rPr>
        <w:t xml:space="preserve"> 支出决算为148.99万元，与预算数持平；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bCs/>
          <w:sz w:val="32"/>
          <w:szCs w:val="32"/>
        </w:rPr>
        <w:t>16</w:t>
      </w:r>
      <w:r>
        <w:rPr>
          <w:rStyle w:val="16"/>
          <w:rFonts w:hint="eastAsia" w:ascii="仿宋_GB2312" w:hAnsi="仿宋_GB2312" w:eastAsia="仿宋_GB2312" w:cs="仿宋_GB2312"/>
          <w:b w:val="0"/>
          <w:bCs/>
          <w:sz w:val="32"/>
          <w:szCs w:val="32"/>
        </w:rPr>
        <w:t>.</w:t>
      </w:r>
      <w:r>
        <w:rPr>
          <w:rFonts w:hint="eastAsia" w:ascii="仿宋_GB2312" w:hAnsi="仿宋_GB2312" w:eastAsia="仿宋_GB2312" w:cs="仿宋_GB2312"/>
          <w:b/>
          <w:bCs/>
          <w:sz w:val="32"/>
          <w:szCs w:val="32"/>
        </w:rPr>
        <w:t>粮油物资储备</w:t>
      </w:r>
      <w:r>
        <w:rPr>
          <w:rStyle w:val="16"/>
          <w:rFonts w:hint="eastAsia" w:ascii="仿宋_GB2312" w:hAnsi="仿宋_GB2312" w:eastAsia="仿宋_GB2312" w:cs="仿宋_GB2312"/>
          <w:bCs/>
          <w:sz w:val="32"/>
          <w:szCs w:val="32"/>
        </w:rPr>
        <w:t>（类）重要商品储备（款）棉花储备（项）:</w:t>
      </w:r>
      <w:r>
        <w:rPr>
          <w:rStyle w:val="16"/>
          <w:rFonts w:hint="eastAsia" w:ascii="仿宋_GB2312" w:hAnsi="仿宋_GB2312" w:eastAsia="仿宋_GB2312" w:cs="仿宋_GB2312"/>
          <w:b w:val="0"/>
          <w:bCs/>
          <w:sz w:val="32"/>
          <w:szCs w:val="32"/>
        </w:rPr>
        <w:t>支出决算为350万元，与预算数持平；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sz w:val="32"/>
          <w:szCs w:val="32"/>
        </w:rPr>
        <w:t>17.</w:t>
      </w:r>
      <w:r>
        <w:rPr>
          <w:rFonts w:hint="eastAsia" w:ascii="仿宋_GB2312" w:hAnsi="仿宋_GB2312" w:eastAsia="仿宋_GB2312" w:cs="仿宋_GB2312"/>
          <w:b/>
          <w:sz w:val="32"/>
          <w:szCs w:val="32"/>
        </w:rPr>
        <w:t>粮油物资</w:t>
      </w:r>
      <w:r>
        <w:rPr>
          <w:rFonts w:hint="eastAsia" w:ascii="仿宋_GB2312" w:hAnsi="仿宋_GB2312" w:eastAsia="仿宋_GB2312" w:cs="仿宋_GB2312"/>
          <w:b/>
          <w:bCs/>
          <w:sz w:val="32"/>
          <w:szCs w:val="32"/>
        </w:rPr>
        <w:t>储备</w:t>
      </w:r>
      <w:r>
        <w:rPr>
          <w:rStyle w:val="16"/>
          <w:rFonts w:hint="eastAsia" w:ascii="仿宋_GB2312" w:hAnsi="仿宋_GB2312" w:eastAsia="仿宋_GB2312" w:cs="仿宋_GB2312"/>
          <w:bCs/>
          <w:sz w:val="32"/>
          <w:szCs w:val="32"/>
        </w:rPr>
        <w:t>（类）重要商品储备（款）化肥储备（项）:</w:t>
      </w:r>
      <w:r>
        <w:rPr>
          <w:rStyle w:val="16"/>
          <w:rFonts w:hint="eastAsia" w:ascii="仿宋_GB2312" w:hAnsi="仿宋_GB2312" w:eastAsia="仿宋_GB2312" w:cs="仿宋_GB2312"/>
          <w:b w:val="0"/>
          <w:bCs/>
          <w:sz w:val="32"/>
          <w:szCs w:val="32"/>
        </w:rPr>
        <w:t>支出决算为1060万元，与预算数持平；</w:t>
      </w:r>
    </w:p>
    <w:p>
      <w:pPr>
        <w:adjustRightInd w:val="0"/>
        <w:snapToGrid w:val="0"/>
        <w:spacing w:line="560" w:lineRule="exact"/>
        <w:ind w:firstLine="643" w:firstLineChars="200"/>
        <w:rPr>
          <w:rStyle w:val="16"/>
          <w:rFonts w:ascii="仿宋_GB2312" w:hAnsi="仿宋_GB2312" w:eastAsia="仿宋_GB2312" w:cs="仿宋_GB2312"/>
          <w:b w:val="0"/>
          <w:bCs/>
          <w:sz w:val="32"/>
          <w:szCs w:val="32"/>
        </w:rPr>
      </w:pPr>
      <w:r>
        <w:rPr>
          <w:rStyle w:val="16"/>
          <w:rFonts w:hint="eastAsia" w:ascii="仿宋_GB2312" w:hAnsi="仿宋_GB2312" w:eastAsia="仿宋_GB2312" w:cs="仿宋_GB2312"/>
          <w:sz w:val="32"/>
          <w:szCs w:val="32"/>
        </w:rPr>
        <w:t>18.</w:t>
      </w:r>
      <w:r>
        <w:rPr>
          <w:rFonts w:hint="eastAsia" w:ascii="仿宋_GB2312" w:hAnsi="仿宋_GB2312" w:eastAsia="仿宋_GB2312" w:cs="仿宋_GB2312"/>
          <w:b/>
          <w:sz w:val="32"/>
          <w:szCs w:val="32"/>
        </w:rPr>
        <w:t>灾害</w:t>
      </w:r>
      <w:r>
        <w:rPr>
          <w:rFonts w:hint="eastAsia" w:ascii="仿宋_GB2312" w:hAnsi="仿宋_GB2312" w:eastAsia="仿宋_GB2312" w:cs="仿宋_GB2312"/>
          <w:b/>
          <w:bCs/>
          <w:sz w:val="32"/>
          <w:szCs w:val="32"/>
        </w:rPr>
        <w:t>防治及应急管理支出</w:t>
      </w:r>
      <w:r>
        <w:rPr>
          <w:rStyle w:val="16"/>
          <w:rFonts w:hint="eastAsia" w:ascii="仿宋_GB2312" w:hAnsi="仿宋_GB2312" w:eastAsia="仿宋_GB2312" w:cs="仿宋_GB2312"/>
          <w:bCs/>
          <w:sz w:val="32"/>
          <w:szCs w:val="32"/>
        </w:rPr>
        <w:t>（类）应急管理事务（款）安全监管（项）:</w:t>
      </w:r>
      <w:r>
        <w:rPr>
          <w:rStyle w:val="16"/>
          <w:rFonts w:hint="eastAsia" w:ascii="仿宋_GB2312" w:hAnsi="仿宋_GB2312" w:eastAsia="仿宋_GB2312" w:cs="仿宋_GB2312"/>
          <w:b w:val="0"/>
          <w:bCs/>
          <w:sz w:val="32"/>
          <w:szCs w:val="32"/>
        </w:rPr>
        <w:t>支出决算为5万元，与预算数持平。</w:t>
      </w:r>
    </w:p>
    <w:p>
      <w:pPr>
        <w:tabs>
          <w:tab w:val="right" w:pos="8306"/>
        </w:tabs>
        <w:adjustRightInd w:val="0"/>
        <w:snapToGrid w:val="0"/>
        <w:spacing w:line="560" w:lineRule="exact"/>
        <w:ind w:firstLine="640"/>
        <w:outlineLvl w:val="1"/>
        <w:rPr>
          <w:rStyle w:val="28"/>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6"/>
      <w:bookmarkEnd w:id="37"/>
      <w:r>
        <w:rPr>
          <w:rStyle w:val="28"/>
          <w:rFonts w:ascii="黑体" w:hAnsi="黑体" w:eastAsia="黑体"/>
          <w:b w:val="0"/>
        </w:rPr>
        <w:tab/>
      </w:r>
    </w:p>
    <w:p>
      <w:pPr>
        <w:adjustRightInd w:val="0"/>
        <w:snapToGrid w:val="0"/>
        <w:spacing w:line="56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2020年一般公共预算财政拨款基本支出2704.38万元，其中：</w:t>
      </w:r>
    </w:p>
    <w:p>
      <w:pPr>
        <w:adjustRightInd w:val="0"/>
        <w:snapToGrid w:val="0"/>
        <w:spacing w:line="560" w:lineRule="exact"/>
        <w:ind w:firstLine="645"/>
        <w:rPr>
          <w:rFonts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人员经费2268.91万元，主要包括：基本工资440.58万元、津贴补贴508.75万元、奖金35.71万元、机关事业单位基本养老保险缴费133.47万元、职业年金缴费8.66万元、职工基本医疗保险缴费100.08万元、公务员医疗补助缴费34.78万元、其他社会保障缴费2.22万元、其他工资福利支出300.46万元、离休费70.21万元、抚恤金69.72万元、生活补助6.58万元、奖励金0.14万元、住房公积金133.44万元、其他对个人和家庭的补助支出424.11万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用经费435.47万元，主要包括：办公费32.49万元、印刷费4.49万元、水费0.63万元、电费7.81万元、邮电费5.35万元、物业管理费47万元、差旅费78.22万元、会议费18.19万元、培训费12.04万元、公务接待费3.31万元、劳务费2.87万元、工会经费22.24万元、福利费13.48万元、公务用车运行维护费30.60万元、其他交通费用96.92万元、其他商品和服务支出59.83万元。</w:t>
      </w:r>
    </w:p>
    <w:p>
      <w:pPr>
        <w:adjustRightInd w:val="0"/>
        <w:snapToGrid w:val="0"/>
        <w:spacing w:line="560" w:lineRule="exact"/>
        <w:ind w:firstLine="640"/>
        <w:outlineLvl w:val="1"/>
        <w:rPr>
          <w:rStyle w:val="28"/>
          <w:rFonts w:ascii="黑体" w:hAnsi="黑体" w:eastAsia="黑体"/>
          <w:b w:val="0"/>
        </w:rPr>
      </w:pPr>
      <w:bookmarkStart w:id="38" w:name="_Toc15377215"/>
      <w:bookmarkStart w:id="39"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8"/>
      <w:bookmarkEnd w:id="39"/>
    </w:p>
    <w:p>
      <w:pPr>
        <w:adjustRightInd w:val="0"/>
        <w:snapToGrid w:val="0"/>
        <w:spacing w:line="560" w:lineRule="exact"/>
        <w:ind w:firstLine="640"/>
        <w:outlineLvl w:val="2"/>
        <w:rPr>
          <w:rFonts w:ascii="方正楷体_GBK" w:hAnsi="方正楷体_GBK" w:eastAsia="方正楷体_GBK" w:cs="方正楷体_GBK"/>
          <w:b/>
          <w:color w:val="000000"/>
          <w:sz w:val="32"/>
          <w:szCs w:val="32"/>
        </w:rPr>
      </w:pPr>
      <w:bookmarkStart w:id="40" w:name="_Toc15377216"/>
      <w:r>
        <w:rPr>
          <w:rFonts w:hint="eastAsia" w:ascii="方正楷体_GBK" w:hAnsi="方正楷体_GBK" w:eastAsia="方正楷体_GBK" w:cs="方正楷体_GBK"/>
          <w:b/>
          <w:color w:val="000000"/>
          <w:sz w:val="32"/>
          <w:szCs w:val="32"/>
        </w:rPr>
        <w:t>（一）“三公”经费财政拨款支出决算总体情况说明</w:t>
      </w:r>
      <w:bookmarkEnd w:id="40"/>
    </w:p>
    <w:p>
      <w:pPr>
        <w:adjustRightInd w:val="0"/>
        <w:snapToGrid w:val="0"/>
        <w:spacing w:line="560" w:lineRule="exact"/>
        <w:ind w:firstLine="640"/>
        <w:rPr>
          <w:rFonts w:ascii="仿宋" w:hAnsi="仿宋" w:eastAsia="仿宋"/>
          <w:color w:val="000000"/>
          <w:sz w:val="32"/>
          <w:szCs w:val="32"/>
        </w:rPr>
      </w:pPr>
      <w:r>
        <w:rPr>
          <w:rFonts w:hint="eastAsia" w:ascii="仿宋_GB2312" w:hAnsi="仿宋_GB2312" w:eastAsia="仿宋_GB2312" w:cs="仿宋_GB2312"/>
          <w:color w:val="000000"/>
          <w:sz w:val="32"/>
          <w:szCs w:val="32"/>
        </w:rPr>
        <w:t>2020年“三公”经费财政拨款支出决算为33.91万元，完成预算63.98%，决算数小于预算数的主要原因是年初预算安排因公出国（境）经费15万元，受疫情影响当年未使用。</w:t>
      </w:r>
    </w:p>
    <w:p>
      <w:pPr>
        <w:adjustRightInd w:val="0"/>
        <w:snapToGrid w:val="0"/>
        <w:spacing w:line="560" w:lineRule="exact"/>
        <w:ind w:firstLine="640"/>
        <w:outlineLvl w:val="2"/>
        <w:rPr>
          <w:rFonts w:ascii="方正楷体_GBK" w:hAnsi="方正楷体_GBK" w:eastAsia="方正楷体_GBK" w:cs="方正楷体_GBK"/>
          <w:b/>
          <w:color w:val="000000"/>
          <w:sz w:val="32"/>
          <w:szCs w:val="32"/>
        </w:rPr>
      </w:pPr>
      <w:bookmarkStart w:id="41" w:name="_Toc15377217"/>
      <w:r>
        <w:rPr>
          <w:rFonts w:hint="eastAsia" w:ascii="方正楷体_GBK" w:hAnsi="方正楷体_GBK" w:eastAsia="方正楷体_GBK" w:cs="方正楷体_GBK"/>
          <w:b/>
          <w:color w:val="000000"/>
          <w:sz w:val="32"/>
          <w:szCs w:val="32"/>
        </w:rPr>
        <w:t>（二）“三公”经费财政拨款支出决算具体情况说明</w:t>
      </w:r>
      <w:bookmarkEnd w:id="41"/>
    </w:p>
    <w:p>
      <w:pPr>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2020年“三公”经费财政拨款支出决算中，因公出国（境）费支出决算0万元；公务用车购置及运行维护费支出决算30.6万元，占90.24%；公务接待费支出决算3.31万元，占9.76%。具体情况如下：</w:t>
      </w:r>
    </w:p>
    <w:p>
      <w:pPr>
        <w:pStyle w:val="2"/>
        <w:spacing w:before="93"/>
        <w:rPr>
          <w:rFonts w:hAnsi="仿宋_GB2312" w:cs="仿宋_GB2312"/>
          <w:color w:val="000000"/>
          <w:sz w:val="32"/>
          <w:szCs w:val="32"/>
        </w:rPr>
      </w:pPr>
    </w:p>
    <w:p>
      <w:pPr>
        <w:pStyle w:val="2"/>
        <w:spacing w:before="93"/>
        <w:jc w:val="center"/>
        <w:rPr>
          <w:rFonts w:hAnsi="仿宋_GB2312" w:cs="仿宋_GB2312"/>
          <w:color w:val="000000"/>
          <w:sz w:val="32"/>
          <w:szCs w:val="32"/>
        </w:rPr>
      </w:pPr>
      <w:r>
        <w:drawing>
          <wp:anchor distT="0" distB="0" distL="114300" distR="114300" simplePos="0" relativeHeight="251665408" behindDoc="0" locked="0" layoutInCell="1" allowOverlap="1">
            <wp:simplePos x="0" y="0"/>
            <wp:positionH relativeFrom="column">
              <wp:posOffset>850900</wp:posOffset>
            </wp:positionH>
            <wp:positionV relativeFrom="paragraph">
              <wp:posOffset>215900</wp:posOffset>
            </wp:positionV>
            <wp:extent cx="4597400" cy="2869565"/>
            <wp:effectExtent l="6350" t="6350" r="13970" b="1968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hAnsi="仿宋_GB2312" w:cs="仿宋_GB2312"/>
          <w:color w:val="000000"/>
          <w:sz w:val="32"/>
          <w:szCs w:val="32"/>
        </w:rPr>
        <w:t>图7：“三公”经费财政拨款支出结构</w:t>
      </w:r>
    </w:p>
    <w:p>
      <w:pPr>
        <w:adjustRightInd w:val="0"/>
        <w:snapToGrid w:val="0"/>
        <w:spacing w:line="560" w:lineRule="exact"/>
        <w:ind w:firstLine="64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w:t>
      </w:r>
      <w:r>
        <w:rPr>
          <w:rStyle w:val="16"/>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全年安排因公出国（境）团组0次，出国（境）0人。因公出国（境）支出决算比2019年减少9.75万元，下降100%。主要原因是疫情影响减少因公出国（境）活动。</w:t>
      </w:r>
    </w:p>
    <w:p>
      <w:pPr>
        <w:adjustRightInd w:val="0"/>
        <w:snapToGrid w:val="0"/>
        <w:spacing w:line="560" w:lineRule="exact"/>
        <w:ind w:firstLine="640"/>
        <w:rPr>
          <w:rFonts w:ascii="仿宋_GB2312" w:eastAsia="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30.6万元,</w:t>
      </w:r>
      <w:r>
        <w:rPr>
          <w:rStyle w:val="16"/>
          <w:rFonts w:hint="eastAsia" w:ascii="仿宋_GB2312" w:hAnsi="仿宋_GB2312" w:eastAsia="仿宋_GB2312" w:cs="仿宋_GB2312"/>
          <w:b w:val="0"/>
          <w:bCs/>
          <w:color w:val="000000"/>
          <w:sz w:val="32"/>
          <w:szCs w:val="32"/>
        </w:rPr>
        <w:t>与预算数持平。</w:t>
      </w:r>
      <w:r>
        <w:rPr>
          <w:rFonts w:hint="eastAsia" w:ascii="仿宋_GB2312" w:hAnsi="仿宋_GB2312" w:eastAsia="仿宋_GB2312" w:cs="仿宋_GB2312"/>
          <w:color w:val="000000"/>
          <w:sz w:val="32"/>
          <w:szCs w:val="32"/>
        </w:rPr>
        <w:t>公务用车购置及运行维护费支出决算比2019年增加3万元，增长10.87%。主要原因是预算安排省直机关汽车大修专项资金3万元，实际支出3万元。</w:t>
      </w:r>
    </w:p>
    <w:p>
      <w:pPr>
        <w:adjustRightInd w:val="0"/>
        <w:snapToGrid w:val="0"/>
        <w:spacing w:line="56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color w:val="000000"/>
          <w:sz w:val="32"/>
          <w:szCs w:val="32"/>
        </w:rPr>
        <w:t>公务用车购置支出</w:t>
      </w:r>
      <w:r>
        <w:rPr>
          <w:rFonts w:hint="eastAsia" w:ascii="仿宋_GB2312" w:hAnsi="仿宋_GB2312" w:eastAsia="仿宋_GB2312" w:cs="仿宋_GB2312"/>
          <w:color w:val="000000"/>
          <w:sz w:val="32"/>
          <w:szCs w:val="32"/>
        </w:rPr>
        <w:t>0万元。截至2020年12月底，单位共有公务用车6辆，其中：轿车6辆、越野车0辆、载客汽车0辆。</w:t>
      </w:r>
    </w:p>
    <w:p>
      <w:pPr>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公务用车运行维护费支出</w:t>
      </w:r>
      <w:r>
        <w:rPr>
          <w:rFonts w:hint="eastAsia" w:ascii="仿宋_GB2312" w:hAnsi="仿宋_GB2312" w:eastAsia="仿宋_GB2312" w:cs="仿宋_GB2312"/>
          <w:color w:val="000000"/>
          <w:sz w:val="32"/>
          <w:szCs w:val="32"/>
        </w:rPr>
        <w:t>30.6万元。主要用于保障对全省供销社系统工作的指导，对直属企事业单位工作的领导和管理工作等公务活动，以及机要交换等所需的公务用车燃料费、维修费、过路过桥费、保险费等支出。</w:t>
      </w:r>
    </w:p>
    <w:p>
      <w:pPr>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3.公务接待费支出</w:t>
      </w:r>
      <w:r>
        <w:rPr>
          <w:rFonts w:hint="eastAsia" w:ascii="仿宋_GB2312" w:hAnsi="仿宋_GB2312" w:eastAsia="仿宋_GB2312" w:cs="仿宋_GB2312"/>
          <w:color w:val="000000"/>
          <w:sz w:val="32"/>
          <w:szCs w:val="32"/>
        </w:rPr>
        <w:t>3.31万元，</w:t>
      </w:r>
      <w:r>
        <w:rPr>
          <w:rStyle w:val="16"/>
          <w:rFonts w:hint="eastAsia" w:ascii="仿宋_GB2312" w:hAnsi="仿宋_GB2312" w:eastAsia="仿宋_GB2312" w:cs="仿宋_GB2312"/>
          <w:b w:val="0"/>
          <w:bCs/>
          <w:color w:val="000000"/>
          <w:sz w:val="32"/>
          <w:szCs w:val="32"/>
        </w:rPr>
        <w:t>完成预算44.73%。</w:t>
      </w:r>
      <w:r>
        <w:rPr>
          <w:rFonts w:hint="eastAsia" w:ascii="仿宋_GB2312" w:hAnsi="仿宋_GB2312" w:eastAsia="仿宋_GB2312" w:cs="仿宋_GB2312"/>
          <w:color w:val="000000"/>
          <w:sz w:val="32"/>
          <w:szCs w:val="32"/>
        </w:rPr>
        <w:t>公务接待费支出决算比2019年减少0.49万元，下降12.89%。主要原因是公务接待活动减少。其中：</w:t>
      </w:r>
    </w:p>
    <w:p>
      <w:pPr>
        <w:adjustRightInd w:val="0"/>
        <w:snapToGrid w:val="0"/>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国内公务接待支出</w:t>
      </w:r>
      <w:r>
        <w:rPr>
          <w:rFonts w:hint="eastAsia" w:ascii="仿宋_GB2312" w:hAnsi="仿宋_GB2312" w:eastAsia="仿宋_GB2312" w:cs="仿宋_GB2312"/>
          <w:color w:val="000000"/>
          <w:sz w:val="32"/>
          <w:szCs w:val="32"/>
        </w:rPr>
        <w:t>3.31万元，主要用于执行公务、开展业务活动开支的交通费、住宿费、用餐费等。国内公务接待34批次，203人次（不包括陪同人员），共计支出3.31万元，具体内容包括：省社机关履行职责职能所需的公务接待支出。</w:t>
      </w:r>
    </w:p>
    <w:p>
      <w:pPr>
        <w:adjustRightInd w:val="0"/>
        <w:snapToGrid w:val="0"/>
        <w:spacing w:line="56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sz w:val="32"/>
          <w:szCs w:val="32"/>
        </w:rPr>
        <w:t>2020年无</w:t>
      </w: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bCs/>
          <w:color w:val="000000" w:themeColor="text1"/>
          <w:sz w:val="32"/>
          <w:szCs w:val="32"/>
        </w:rPr>
        <w:t>。</w:t>
      </w:r>
    </w:p>
    <w:p>
      <w:pPr>
        <w:adjustRightInd w:val="0"/>
        <w:snapToGrid w:val="0"/>
        <w:spacing w:line="560" w:lineRule="exact"/>
        <w:ind w:firstLine="640"/>
        <w:outlineLvl w:val="1"/>
        <w:rPr>
          <w:rStyle w:val="28"/>
          <w:rFonts w:ascii="黑体" w:hAnsi="黑体" w:eastAsia="黑体"/>
        </w:rPr>
      </w:pPr>
      <w:bookmarkStart w:id="42" w:name="_Toc15396610"/>
      <w:bookmarkStart w:id="43" w:name="_Toc15377218"/>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2"/>
      <w:bookmarkEnd w:id="43"/>
    </w:p>
    <w:p>
      <w:pPr>
        <w:adjustRightInd w:val="0"/>
        <w:snapToGrid w:val="0"/>
        <w:spacing w:line="56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20年无政府性基金预算拨款支出。</w:t>
      </w:r>
    </w:p>
    <w:p>
      <w:pPr>
        <w:numPr>
          <w:ilvl w:val="0"/>
          <w:numId w:val="1"/>
        </w:numPr>
        <w:adjustRightInd w:val="0"/>
        <w:snapToGrid w:val="0"/>
        <w:spacing w:line="560" w:lineRule="exact"/>
        <w:ind w:firstLine="640"/>
        <w:outlineLvl w:val="1"/>
        <w:rPr>
          <w:rStyle w:val="28"/>
          <w:rFonts w:ascii="黑体" w:hAnsi="黑体" w:eastAsia="黑体"/>
          <w:b w:val="0"/>
        </w:rPr>
      </w:pPr>
      <w:bookmarkStart w:id="44" w:name="_Toc15396611"/>
      <w:bookmarkStart w:id="45" w:name="_Toc15377219"/>
      <w:r>
        <w:rPr>
          <w:rStyle w:val="28"/>
          <w:rFonts w:hint="eastAsia" w:ascii="黑体" w:hAnsi="黑体" w:eastAsia="黑体"/>
          <w:b w:val="0"/>
        </w:rPr>
        <w:t>国有资本经营预算支出决算情况说明</w:t>
      </w:r>
      <w:bookmarkEnd w:id="44"/>
      <w:bookmarkEnd w:id="45"/>
    </w:p>
    <w:p>
      <w:pPr>
        <w:adjustRightInd w:val="0"/>
        <w:snapToGrid w:val="0"/>
        <w:spacing w:line="56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20年无国有资本经营预算拨款支出。</w:t>
      </w:r>
    </w:p>
    <w:p>
      <w:pPr>
        <w:numPr>
          <w:ilvl w:val="0"/>
          <w:numId w:val="1"/>
        </w:numPr>
        <w:adjustRightInd w:val="0"/>
        <w:snapToGrid w:val="0"/>
        <w:spacing w:line="560" w:lineRule="exact"/>
        <w:ind w:firstLine="640"/>
        <w:outlineLvl w:val="1"/>
        <w:rPr>
          <w:rStyle w:val="28"/>
          <w:rFonts w:ascii="黑体" w:hAnsi="黑体" w:eastAsia="黑体"/>
          <w:b w:val="0"/>
        </w:rPr>
      </w:pPr>
      <w:bookmarkStart w:id="46" w:name="_Toc15377221"/>
      <w:bookmarkStart w:id="47" w:name="_Toc15396612"/>
      <w:r>
        <w:rPr>
          <w:rStyle w:val="28"/>
          <w:rFonts w:hint="eastAsia" w:ascii="黑体" w:hAnsi="黑体" w:eastAsia="黑体"/>
          <w:b w:val="0"/>
        </w:rPr>
        <w:t>其他重要事项的情况说明</w:t>
      </w:r>
      <w:bookmarkEnd w:id="46"/>
      <w:bookmarkEnd w:id="47"/>
    </w:p>
    <w:p>
      <w:pPr>
        <w:adjustRightInd w:val="0"/>
        <w:snapToGrid w:val="0"/>
        <w:spacing w:line="560" w:lineRule="exact"/>
        <w:ind w:firstLine="643" w:firstLineChars="200"/>
        <w:outlineLvl w:val="2"/>
        <w:rPr>
          <w:rFonts w:ascii="方正楷体_GBK" w:hAnsi="方正楷体_GBK" w:eastAsia="方正楷体_GBK" w:cs="方正楷体_GBK"/>
          <w:color w:val="000000"/>
          <w:sz w:val="32"/>
          <w:szCs w:val="32"/>
        </w:rPr>
      </w:pPr>
      <w:bookmarkStart w:id="48" w:name="_Toc15377222"/>
      <w:r>
        <w:rPr>
          <w:rFonts w:hint="eastAsia" w:ascii="方正楷体_GBK" w:hAnsi="方正楷体_GBK" w:eastAsia="方正楷体_GBK" w:cs="方正楷体_GBK"/>
          <w:b/>
          <w:color w:val="000000"/>
          <w:sz w:val="32"/>
          <w:szCs w:val="32"/>
        </w:rPr>
        <w:t>（一）机关运行经费支出情况</w:t>
      </w:r>
      <w:bookmarkEnd w:id="48"/>
    </w:p>
    <w:p>
      <w:pPr>
        <w:adjustRightInd w:val="0"/>
        <w:snapToGrid w:val="0"/>
        <w:spacing w:line="56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20年，四川省供销社机关运行经费支出435.48万元，比</w:t>
      </w:r>
      <w:r>
        <w:rPr>
          <w:rFonts w:ascii="仿宋_GB2312" w:eastAsia="仿宋_GB2312"/>
          <w:color w:val="000000"/>
          <w:sz w:val="32"/>
          <w:szCs w:val="32"/>
        </w:rPr>
        <w:t>201</w:t>
      </w:r>
      <w:r>
        <w:rPr>
          <w:rFonts w:hint="eastAsia" w:ascii="仿宋_GB2312" w:eastAsia="仿宋_GB2312"/>
          <w:color w:val="000000"/>
          <w:sz w:val="32"/>
          <w:szCs w:val="32"/>
        </w:rPr>
        <w:t>9年减少86.1万元，下降16.51</w:t>
      </w:r>
      <w:r>
        <w:rPr>
          <w:rFonts w:ascii="仿宋_GB2312" w:eastAsia="仿宋_GB2312"/>
          <w:color w:val="000000"/>
          <w:sz w:val="32"/>
          <w:szCs w:val="32"/>
        </w:rPr>
        <w:t>%</w:t>
      </w:r>
      <w:r>
        <w:rPr>
          <w:rFonts w:hint="eastAsia" w:ascii="仿宋_GB2312" w:eastAsia="仿宋_GB2312"/>
          <w:color w:val="000000"/>
          <w:sz w:val="32"/>
          <w:szCs w:val="32"/>
        </w:rPr>
        <w:t>。主要</w:t>
      </w:r>
      <w:r>
        <w:rPr>
          <w:rFonts w:hint="eastAsia" w:ascii="仿宋_GB2312" w:eastAsia="仿宋_GB2312"/>
          <w:color w:val="000000" w:themeColor="text1"/>
          <w:sz w:val="32"/>
          <w:szCs w:val="32"/>
        </w:rPr>
        <w:t>原因是2020年按财政要求，大幅压减出国费、会议费、培训费、差旅费等支出。</w:t>
      </w:r>
    </w:p>
    <w:p>
      <w:pPr>
        <w:autoSpaceDE w:val="0"/>
        <w:autoSpaceDN w:val="0"/>
        <w:adjustRightInd w:val="0"/>
        <w:snapToGrid w:val="0"/>
        <w:spacing w:line="560" w:lineRule="exact"/>
        <w:ind w:firstLine="643" w:firstLineChars="200"/>
        <w:jc w:val="left"/>
        <w:outlineLvl w:val="2"/>
        <w:rPr>
          <w:rFonts w:ascii="方正楷体_GBK" w:hAnsi="方正楷体_GBK" w:eastAsia="方正楷体_GBK" w:cs="方正楷体_GBK"/>
          <w:b/>
          <w:color w:val="000000"/>
          <w:sz w:val="32"/>
          <w:szCs w:val="32"/>
        </w:rPr>
      </w:pPr>
      <w:bookmarkStart w:id="49" w:name="_Toc15377223"/>
      <w:r>
        <w:rPr>
          <w:rFonts w:hint="eastAsia" w:ascii="方正楷体_GBK" w:hAnsi="方正楷体_GBK" w:eastAsia="方正楷体_GBK" w:cs="方正楷体_GBK"/>
          <w:b/>
          <w:color w:val="000000"/>
          <w:sz w:val="32"/>
          <w:szCs w:val="32"/>
        </w:rPr>
        <w:t>（二）政府采购支出情况</w:t>
      </w:r>
      <w:bookmarkEnd w:id="49"/>
    </w:p>
    <w:p>
      <w:pPr>
        <w:adjustRightInd w:val="0"/>
        <w:snapToGrid w:val="0"/>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四川省供销社机关政府采购支出总额24.86万元，其中：政府采购货物支出13.89万元、政府采购工程支出0万元、政府采购服务支出10.97万元。主要用于省社机关购置办公设备以及公车运行维护费等支出。授予中小企业合同金额5万元，占政府采购支出总额的20.11</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napToGrid w:val="0"/>
        <w:spacing w:line="560" w:lineRule="exact"/>
        <w:ind w:firstLine="643" w:firstLineChars="200"/>
        <w:jc w:val="left"/>
        <w:outlineLvl w:val="2"/>
        <w:rPr>
          <w:rFonts w:ascii="方正楷体_GBK" w:hAnsi="方正楷体_GBK" w:eastAsia="方正楷体_GBK" w:cs="方正楷体_GBK"/>
          <w:b/>
          <w:color w:val="000000"/>
          <w:sz w:val="32"/>
          <w:szCs w:val="32"/>
        </w:rPr>
      </w:pPr>
      <w:bookmarkStart w:id="50" w:name="_Toc15377224"/>
      <w:r>
        <w:rPr>
          <w:rFonts w:hint="eastAsia" w:ascii="方正楷体_GBK" w:hAnsi="方正楷体_GBK" w:eastAsia="方正楷体_GBK" w:cs="方正楷体_GBK"/>
          <w:b/>
          <w:color w:val="000000"/>
          <w:sz w:val="32"/>
          <w:szCs w:val="32"/>
        </w:rPr>
        <w:t>（三）国有资产占有使用情况</w:t>
      </w:r>
      <w:bookmarkEnd w:id="50"/>
    </w:p>
    <w:p>
      <w:pPr>
        <w:autoSpaceDE w:val="0"/>
        <w:autoSpaceDN w:val="0"/>
        <w:adjustRightInd w:val="0"/>
        <w:snapToGrid w:val="0"/>
        <w:spacing w:line="560" w:lineRule="exact"/>
        <w:ind w:firstLine="640" w:firstLineChars="200"/>
        <w:jc w:val="left"/>
        <w:outlineLvl w:val="2"/>
        <w:rPr>
          <w:rFonts w:ascii="仿宋_GB2312" w:hAnsi="仿宋_GB2312" w:eastAsia="仿宋_GB2312" w:cs="仿宋_GB2312"/>
          <w:b/>
          <w:color w:val="0000FF"/>
          <w:sz w:val="32"/>
          <w:szCs w:val="32"/>
        </w:rPr>
      </w:pPr>
      <w:r>
        <w:rPr>
          <w:rFonts w:hint="eastAsia" w:ascii="仿宋_GB2312" w:hAnsi="仿宋_GB2312" w:eastAsia="仿宋_GB2312" w:cs="仿宋_GB2312"/>
          <w:color w:val="000000"/>
          <w:sz w:val="32"/>
          <w:szCs w:val="32"/>
        </w:rPr>
        <w:t>截至2020年12月31日，四川省供销社机关共有车辆6辆，其中：主要领导干部用车1辆、机要通信用车1辆、应急保障用车1辆、离退休干部用车3辆。</w:t>
      </w:r>
      <w:r>
        <w:rPr>
          <w:rFonts w:hint="eastAsia" w:ascii="仿宋_GB2312" w:hAnsi="仿宋_GB2312" w:eastAsia="仿宋_GB2312" w:cs="仿宋_GB2312"/>
          <w:color w:val="000000" w:themeColor="text1"/>
          <w:sz w:val="32"/>
          <w:szCs w:val="32"/>
        </w:rPr>
        <w:t>无单价50万元以上通用设备和单价100</w:t>
      </w:r>
      <w:r>
        <w:rPr>
          <w:rFonts w:hint="eastAsia" w:ascii="仿宋_GB2312" w:hAnsi="仿宋_GB2312" w:eastAsia="仿宋_GB2312" w:cs="仿宋_GB2312"/>
          <w:color w:val="000000"/>
          <w:sz w:val="32"/>
          <w:szCs w:val="32"/>
        </w:rPr>
        <w:t>万元以上专用设备。</w:t>
      </w:r>
    </w:p>
    <w:p>
      <w:pPr>
        <w:autoSpaceDE w:val="0"/>
        <w:autoSpaceDN w:val="0"/>
        <w:adjustRightInd w:val="0"/>
        <w:snapToGrid w:val="0"/>
        <w:spacing w:line="560" w:lineRule="exact"/>
        <w:ind w:firstLine="643" w:firstLineChars="200"/>
        <w:jc w:val="left"/>
        <w:outlineLvl w:val="2"/>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根据预算绩效管理要求，本单位在2020年度预算编制阶段，对2个项目编制了绩效目标，预算执行过程中，选取2个项目开展绩效监控，年终执行完毕后，对2个项目开展了绩效目标完成情况自评。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还自行组织了2个项目支出绩效评价，从评价情况来看，通过省级化肥、棉花储备工作的开展，相关承储企业成为政府市场调控和应急供应的重要载体，通过商业储备方式，降低了政府调控成本和市场风险，对平抑价格、稳定市场以及满足救灾扶贫等应急需要起到了一定的作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本单位在2020年度部门决算中反映“省级棉花储备贴息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“省级棉花储备贴息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2个项目绩效目标实际完成情况。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省级棉花储备贴息项目绩效目标完成情况综述。项目全年预算数150万元，执行数为150万元，完成预算的100%。通过项目实施，在一定程度上平抑了省内棉价，避免了价格巨幅波动冲击纺织行业，为保持省内纺织工业持续稳定发展发挥了一定作用，一定程度上杜绝了黑心棉的流入。发现的主要问题：省级储备相关政策标准长期不变，缺乏动态调整机制；储备任务量制定依据不足或不合理。下一步改进措施：科学合理确定储备品种和储备规模，加强省级项目储备管理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级棉花储备贴息项目绩效目标完成情况综述。项目全年预算数760万元，执行数为760万元，完成预算的100%。通过项目实施，承储企业在大春用肥时大量投放市场，保证农户以较低价格购买生产物资，在一定程度上保护了农民种粮积极性，保障边远地区春耕用肥供应，为助农增收作出一定贡献。发现的主要问题：省级储备相关政策标准长期不变，缺乏动态调整机制；储备任务量制定依据不足或不合理。下一步改进措施：科学合理确定储备品种和储备规模，加强省级项目储备管理工作。</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455" w:type="dxa"/>
        <w:jc w:val="center"/>
        <w:tblLayout w:type="fixed"/>
        <w:tblCellMar>
          <w:top w:w="0" w:type="dxa"/>
          <w:left w:w="0" w:type="dxa"/>
          <w:bottom w:w="0" w:type="dxa"/>
          <w:right w:w="0" w:type="dxa"/>
        </w:tblCellMar>
      </w:tblPr>
      <w:tblGrid>
        <w:gridCol w:w="720"/>
        <w:gridCol w:w="1030"/>
        <w:gridCol w:w="1172"/>
        <w:gridCol w:w="2472"/>
        <w:gridCol w:w="1476"/>
        <w:gridCol w:w="2585"/>
      </w:tblGrid>
      <w:tr>
        <w:tblPrEx>
          <w:tblCellMar>
            <w:top w:w="0" w:type="dxa"/>
            <w:left w:w="0" w:type="dxa"/>
            <w:bottom w:w="0" w:type="dxa"/>
            <w:right w:w="0" w:type="dxa"/>
          </w:tblCellMar>
        </w:tblPrEx>
        <w:trPr>
          <w:trHeight w:val="1034" w:hRule="atLeast"/>
          <w:jc w:val="center"/>
        </w:trPr>
        <w:tc>
          <w:tcPr>
            <w:tcW w:w="945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仿宋_GB2312" w:hAnsi="仿宋_GB2312" w:eastAsia="仿宋_GB2312" w:cs="仿宋_GB2312"/>
                <w:kern w:val="0"/>
                <w:sz w:val="36"/>
                <w:szCs w:val="36"/>
              </w:rPr>
              <w:t>项目绩效目标完成情况表</w:t>
            </w:r>
            <w:r>
              <w:rPr>
                <w:rFonts w:hint="eastAsia" w:ascii="仿宋_GB2312" w:hAnsi="仿宋_GB2312" w:eastAsia="仿宋_GB2312" w:cs="仿宋_GB2312"/>
                <w:kern w:val="0"/>
                <w:sz w:val="36"/>
                <w:szCs w:val="36"/>
              </w:rPr>
              <w:br w:type="textWrapping"/>
            </w:r>
            <w:r>
              <w:rPr>
                <w:rFonts w:hint="eastAsia" w:ascii="仿宋_GB2312" w:hAnsi="仿宋_GB2312" w:eastAsia="仿宋_GB2312" w:cs="仿宋_GB2312"/>
                <w:kern w:val="0"/>
                <w:sz w:val="36"/>
                <w:szCs w:val="36"/>
              </w:rPr>
              <w:t>(2020年度)</w:t>
            </w:r>
          </w:p>
        </w:tc>
      </w:tr>
      <w:tr>
        <w:tblPrEx>
          <w:tblCellMar>
            <w:top w:w="0" w:type="dxa"/>
            <w:left w:w="0" w:type="dxa"/>
            <w:bottom w:w="0" w:type="dxa"/>
            <w:right w:w="0" w:type="dxa"/>
          </w:tblCellMar>
        </w:tblPrEx>
        <w:trPr>
          <w:trHeight w:val="276" w:hRule="atLeast"/>
          <w:jc w:val="center"/>
        </w:trPr>
        <w:tc>
          <w:tcPr>
            <w:tcW w:w="2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6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省级棉花储备贴息</w:t>
            </w:r>
          </w:p>
        </w:tc>
      </w:tr>
      <w:tr>
        <w:tblPrEx>
          <w:tblCellMar>
            <w:top w:w="0" w:type="dxa"/>
            <w:left w:w="0" w:type="dxa"/>
            <w:bottom w:w="0" w:type="dxa"/>
            <w:right w:w="0" w:type="dxa"/>
          </w:tblCellMar>
        </w:tblPrEx>
        <w:trPr>
          <w:trHeight w:val="276" w:hRule="atLeast"/>
          <w:jc w:val="center"/>
        </w:trPr>
        <w:tc>
          <w:tcPr>
            <w:tcW w:w="2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6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四川省供销社机关</w:t>
            </w:r>
          </w:p>
        </w:tc>
      </w:tr>
      <w:tr>
        <w:tblPrEx>
          <w:tblCellMar>
            <w:top w:w="0" w:type="dxa"/>
            <w:left w:w="0" w:type="dxa"/>
            <w:bottom w:w="0" w:type="dxa"/>
            <w:right w:w="0" w:type="dxa"/>
          </w:tblCellMar>
        </w:tblPrEx>
        <w:trPr>
          <w:trHeight w:val="38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2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150</w:t>
            </w:r>
          </w:p>
        </w:tc>
      </w:tr>
      <w:tr>
        <w:tblPrEx>
          <w:tblCellMar>
            <w:top w:w="0" w:type="dxa"/>
            <w:left w:w="0" w:type="dxa"/>
            <w:bottom w:w="0" w:type="dxa"/>
            <w:right w:w="0" w:type="dxa"/>
          </w:tblCellMar>
        </w:tblPrEx>
        <w:trPr>
          <w:trHeight w:val="38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p>
        </w:tc>
        <w:tc>
          <w:tcPr>
            <w:tcW w:w="22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150</w:t>
            </w:r>
          </w:p>
        </w:tc>
      </w:tr>
      <w:tr>
        <w:tblPrEx>
          <w:tblCellMar>
            <w:top w:w="0" w:type="dxa"/>
            <w:left w:w="0" w:type="dxa"/>
            <w:bottom w:w="0" w:type="dxa"/>
            <w:right w:w="0" w:type="dxa"/>
          </w:tblCellMar>
        </w:tblPrEx>
        <w:trPr>
          <w:trHeight w:val="42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p>
        </w:tc>
        <w:tc>
          <w:tcPr>
            <w:tcW w:w="22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27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6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0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trHeight w:val="115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p>
        </w:tc>
        <w:tc>
          <w:tcPr>
            <w:tcW w:w="46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行棉花经营性滚动储备，搭建集市场监测、信息收集、市场调控、应急供应等功能于一体储备平台。一方面用于缓解我省棉花种植面积下降、产量持续缩减、主要依靠外购的棉花产业现状，保障纺织工业发展；另一方面，用于应对因洪涝、地震等自然灾害及扶贫导致的应急用棉需求，保障社会稳定。</w:t>
            </w:r>
          </w:p>
        </w:tc>
        <w:tc>
          <w:tcPr>
            <w:tcW w:w="40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2020年7月1日—2021年6月30日棉花年经营量96040吨，平均库存为6583吨，占用资金利息409.57万元，保质保量地完成相应的储备任务，并按时按需地实施了轮出、轮入。</w:t>
            </w:r>
          </w:p>
        </w:tc>
      </w:tr>
      <w:tr>
        <w:tblPrEx>
          <w:tblCellMar>
            <w:top w:w="0" w:type="dxa"/>
            <w:left w:w="0" w:type="dxa"/>
            <w:bottom w:w="0" w:type="dxa"/>
            <w:right w:w="0" w:type="dxa"/>
          </w:tblCellMar>
        </w:tblPrEx>
        <w:trPr>
          <w:trHeight w:val="853" w:hRule="atLeast"/>
          <w:jc w:val="center"/>
        </w:trPr>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tblPrEx>
          <w:tblCellMar>
            <w:top w:w="0" w:type="dxa"/>
            <w:left w:w="0" w:type="dxa"/>
            <w:bottom w:w="0" w:type="dxa"/>
            <w:right w:w="0" w:type="dxa"/>
          </w:tblCellMar>
        </w:tblPrEx>
        <w:trPr>
          <w:trHeight w:val="69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完成棉花储备数量</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3万吨</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年经营滚动储备棉花3万吨</w:t>
            </w:r>
          </w:p>
        </w:tc>
      </w:tr>
      <w:tr>
        <w:tblPrEx>
          <w:tblCellMar>
            <w:top w:w="0" w:type="dxa"/>
            <w:left w:w="0" w:type="dxa"/>
            <w:bottom w:w="0" w:type="dxa"/>
            <w:right w:w="0" w:type="dxa"/>
          </w:tblCellMar>
        </w:tblPrEx>
        <w:trPr>
          <w:trHeight w:val="83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完成省内棉花市场信息采集次数</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12次</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搭建集市场监测、信息收集、市场调控、应急供应等功能于一体储备平台，完成省内棉花市场信息采集次数12次</w:t>
            </w:r>
          </w:p>
        </w:tc>
      </w:tr>
      <w:tr>
        <w:tblPrEx>
          <w:tblCellMar>
            <w:top w:w="0" w:type="dxa"/>
            <w:left w:w="0" w:type="dxa"/>
            <w:bottom w:w="0" w:type="dxa"/>
            <w:right w:w="0" w:type="dxa"/>
          </w:tblCellMar>
        </w:tblPrEx>
        <w:trPr>
          <w:trHeight w:val="57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时效指标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完成上报时限</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2020年12月31日</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2020年6月30日</w:t>
            </w:r>
          </w:p>
        </w:tc>
      </w:tr>
      <w:tr>
        <w:tblPrEx>
          <w:tblCellMar>
            <w:top w:w="0" w:type="dxa"/>
            <w:left w:w="0" w:type="dxa"/>
            <w:bottom w:w="0" w:type="dxa"/>
            <w:right w:w="0" w:type="dxa"/>
          </w:tblCellMar>
        </w:tblPrEx>
        <w:trPr>
          <w:trHeight w:val="719"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项目完成指标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成本指标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储备资金融资成本率</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≤5.65%</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≤5.65%</w:t>
            </w:r>
          </w:p>
        </w:tc>
      </w:tr>
      <w:tr>
        <w:tblPrEx>
          <w:tblCellMar>
            <w:top w:w="0" w:type="dxa"/>
            <w:left w:w="0" w:type="dxa"/>
            <w:bottom w:w="0" w:type="dxa"/>
            <w:right w:w="0" w:type="dxa"/>
          </w:tblCellMar>
        </w:tblPrEx>
        <w:trPr>
          <w:trHeight w:val="93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对省内纺织工业发展的促进作用</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基本满足需求</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基本满足需求</w:t>
            </w:r>
          </w:p>
        </w:tc>
      </w:tr>
      <w:tr>
        <w:tblPrEx>
          <w:tblCellMar>
            <w:top w:w="0" w:type="dxa"/>
            <w:left w:w="0" w:type="dxa"/>
            <w:bottom w:w="0" w:type="dxa"/>
            <w:right w:w="0" w:type="dxa"/>
          </w:tblCellMar>
        </w:tblPrEx>
        <w:trPr>
          <w:trHeight w:val="734"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轮出市场覆盖面</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0" w:type="dxa"/>
            <w:bottom w:w="0" w:type="dxa"/>
            <w:right w:w="0" w:type="dxa"/>
          </w:tblCellMar>
        </w:tblPrEx>
        <w:trPr>
          <w:trHeight w:val="77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可持续影响指标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棉花储备影响年限</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≥1年</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≥1年</w:t>
            </w:r>
          </w:p>
        </w:tc>
      </w:tr>
      <w:tr>
        <w:tblPrEx>
          <w:tblCellMar>
            <w:top w:w="0" w:type="dxa"/>
            <w:left w:w="0" w:type="dxa"/>
            <w:bottom w:w="0" w:type="dxa"/>
            <w:right w:w="0" w:type="dxa"/>
          </w:tblCellMar>
        </w:tblPrEx>
        <w:trPr>
          <w:trHeight w:val="667" w:hRule="atLeast"/>
          <w:jc w:val="center"/>
        </w:trPr>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满意度指标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0" w:type="dxa"/>
            <w:bottom w:w="0" w:type="dxa"/>
            <w:right w:w="0" w:type="dxa"/>
          </w:tblCellMar>
        </w:tblPrEx>
        <w:trPr>
          <w:trHeight w:val="1034" w:hRule="atLeast"/>
          <w:jc w:val="center"/>
        </w:trPr>
        <w:tc>
          <w:tcPr>
            <w:tcW w:w="945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仿宋_GB2312" w:eastAsia="仿宋_GB2312" w:cs="仿宋_GB2312"/>
                <w:kern w:val="0"/>
                <w:sz w:val="36"/>
                <w:szCs w:val="36"/>
              </w:rPr>
            </w:pPr>
            <w:bookmarkStart w:id="51" w:name="_Toc15396613"/>
            <w:bookmarkStart w:id="52" w:name="_Toc15377225"/>
          </w:p>
          <w:p>
            <w:pPr>
              <w:widowControl/>
              <w:jc w:val="center"/>
              <w:textAlignment w:val="center"/>
              <w:rPr>
                <w:rFonts w:ascii="宋体" w:hAnsi="宋体" w:cs="宋体"/>
                <w:sz w:val="36"/>
                <w:szCs w:val="36"/>
              </w:rPr>
            </w:pPr>
            <w:r>
              <w:rPr>
                <w:rFonts w:hint="eastAsia" w:ascii="仿宋_GB2312" w:hAnsi="仿宋_GB2312" w:eastAsia="仿宋_GB2312" w:cs="仿宋_GB2312"/>
                <w:kern w:val="0"/>
                <w:sz w:val="36"/>
                <w:szCs w:val="36"/>
              </w:rPr>
              <w:t>项目绩效目标完成情况表</w:t>
            </w:r>
            <w:r>
              <w:rPr>
                <w:rFonts w:hint="eastAsia" w:ascii="仿宋_GB2312" w:hAnsi="仿宋_GB2312" w:eastAsia="仿宋_GB2312" w:cs="仿宋_GB2312"/>
                <w:kern w:val="0"/>
                <w:sz w:val="36"/>
                <w:szCs w:val="36"/>
              </w:rPr>
              <w:br w:type="textWrapping"/>
            </w:r>
            <w:r>
              <w:rPr>
                <w:rFonts w:hint="eastAsia" w:ascii="仿宋_GB2312" w:hAnsi="仿宋_GB2312" w:eastAsia="仿宋_GB2312" w:cs="仿宋_GB2312"/>
                <w:kern w:val="0"/>
                <w:sz w:val="36"/>
                <w:szCs w:val="36"/>
              </w:rPr>
              <w:t>(2020年度)</w:t>
            </w:r>
          </w:p>
        </w:tc>
      </w:tr>
      <w:tr>
        <w:tblPrEx>
          <w:tblCellMar>
            <w:top w:w="0" w:type="dxa"/>
            <w:left w:w="0" w:type="dxa"/>
            <w:bottom w:w="0" w:type="dxa"/>
            <w:right w:w="0" w:type="dxa"/>
          </w:tblCellMar>
        </w:tblPrEx>
        <w:trPr>
          <w:trHeight w:val="276" w:hRule="atLeast"/>
          <w:jc w:val="center"/>
        </w:trPr>
        <w:tc>
          <w:tcPr>
            <w:tcW w:w="2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项目名称</w:t>
            </w:r>
          </w:p>
        </w:tc>
        <w:tc>
          <w:tcPr>
            <w:tcW w:w="6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省级化肥储备贴息</w:t>
            </w:r>
          </w:p>
        </w:tc>
      </w:tr>
      <w:tr>
        <w:tblPrEx>
          <w:tblCellMar>
            <w:top w:w="0" w:type="dxa"/>
            <w:left w:w="0" w:type="dxa"/>
            <w:bottom w:w="0" w:type="dxa"/>
            <w:right w:w="0" w:type="dxa"/>
          </w:tblCellMar>
        </w:tblPrEx>
        <w:trPr>
          <w:trHeight w:val="276" w:hRule="atLeast"/>
          <w:jc w:val="center"/>
        </w:trPr>
        <w:tc>
          <w:tcPr>
            <w:tcW w:w="2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预算单位</w:t>
            </w:r>
          </w:p>
        </w:tc>
        <w:tc>
          <w:tcPr>
            <w:tcW w:w="65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四川省供销社机关</w:t>
            </w:r>
          </w:p>
        </w:tc>
      </w:tr>
      <w:tr>
        <w:tblPrEx>
          <w:tblCellMar>
            <w:top w:w="0" w:type="dxa"/>
            <w:left w:w="0" w:type="dxa"/>
            <w:bottom w:w="0" w:type="dxa"/>
            <w:right w:w="0" w:type="dxa"/>
          </w:tblCellMar>
        </w:tblPrEx>
        <w:trPr>
          <w:trHeight w:val="389"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预算执行情况(万元)</w:t>
            </w:r>
          </w:p>
        </w:tc>
        <w:tc>
          <w:tcPr>
            <w:tcW w:w="22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760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760</w:t>
            </w:r>
          </w:p>
        </w:tc>
      </w:tr>
      <w:tr>
        <w:tblPrEx>
          <w:tblCellMar>
            <w:top w:w="0" w:type="dxa"/>
            <w:left w:w="0" w:type="dxa"/>
            <w:bottom w:w="0" w:type="dxa"/>
            <w:right w:w="0" w:type="dxa"/>
          </w:tblCellMar>
        </w:tblPrEx>
        <w:trPr>
          <w:trHeight w:val="38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p>
        </w:tc>
        <w:tc>
          <w:tcPr>
            <w:tcW w:w="22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760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其中-财政拨款:</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760</w:t>
            </w:r>
          </w:p>
        </w:tc>
      </w:tr>
      <w:tr>
        <w:tblPrEx>
          <w:tblCellMar>
            <w:top w:w="0" w:type="dxa"/>
            <w:left w:w="0" w:type="dxa"/>
            <w:bottom w:w="0" w:type="dxa"/>
            <w:right w:w="0" w:type="dxa"/>
          </w:tblCellMar>
        </w:tblPrEx>
        <w:trPr>
          <w:trHeight w:val="422"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p>
        </w:tc>
        <w:tc>
          <w:tcPr>
            <w:tcW w:w="22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其它资金:</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CellMar>
            <w:top w:w="0" w:type="dxa"/>
            <w:left w:w="0" w:type="dxa"/>
            <w:bottom w:w="0" w:type="dxa"/>
            <w:right w:w="0" w:type="dxa"/>
          </w:tblCellMar>
        </w:tblPrEx>
        <w:trPr>
          <w:trHeight w:val="276"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年度目标完成情况</w:t>
            </w:r>
          </w:p>
        </w:tc>
        <w:tc>
          <w:tcPr>
            <w:tcW w:w="46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40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实际完成目标</w:t>
            </w:r>
          </w:p>
        </w:tc>
      </w:tr>
      <w:tr>
        <w:tblPrEx>
          <w:tblCellMar>
            <w:top w:w="0" w:type="dxa"/>
            <w:left w:w="0" w:type="dxa"/>
            <w:bottom w:w="0" w:type="dxa"/>
            <w:right w:w="0" w:type="dxa"/>
          </w:tblCellMar>
        </w:tblPrEx>
        <w:trPr>
          <w:trHeight w:val="115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sz w:val="24"/>
              </w:rPr>
            </w:pPr>
          </w:p>
        </w:tc>
        <w:tc>
          <w:tcPr>
            <w:tcW w:w="467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所储备的化肥主要用于保障边远山区、民族地区和突发自然灾害地区的救灾、救助及生产需要，平抑价格，确保农业生产生活顺利。按省供销社《省级化肥储备管理办法》（川供经[2018]138号）进行考核，省级化肥淡季储备任务量30万吨，累计调入45万吨，预计平均单价2350元，总资金10.58亿，需增加银行贷款5.29亿元（按一半计算），按6%的贷款利率计算，储备期（6个月）增加贷款利息1587万元。</w:t>
            </w:r>
          </w:p>
        </w:tc>
        <w:tc>
          <w:tcPr>
            <w:tcW w:w="40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2019年11月至2020年4月储备期间，累计调入量为128.18万吨，月平均库存量为22.04万吨。平均资金占用50,632.31万元，按照贷款加权平均年利率4.98%计算，占用资金利息共计1,260.75万元。在储备期间完成了2020年的省级化肥储备任务。</w:t>
            </w:r>
          </w:p>
        </w:tc>
      </w:tr>
      <w:tr>
        <w:tblPrEx>
          <w:tblCellMar>
            <w:top w:w="0" w:type="dxa"/>
            <w:left w:w="0" w:type="dxa"/>
            <w:bottom w:w="0" w:type="dxa"/>
            <w:right w:w="0" w:type="dxa"/>
          </w:tblCellMar>
        </w:tblPrEx>
        <w:trPr>
          <w:trHeight w:val="853" w:hRule="atLeast"/>
          <w:jc w:val="center"/>
        </w:trPr>
        <w:tc>
          <w:tcPr>
            <w:tcW w:w="72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绩效指标完成情况</w:t>
            </w: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一级指标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二级指标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三级指标</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预期指标值(包含数字及文字描述)</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实际完成指标值(包含数字及文字描述)</w:t>
            </w:r>
          </w:p>
        </w:tc>
      </w:tr>
      <w:tr>
        <w:tblPrEx>
          <w:tblCellMar>
            <w:top w:w="0" w:type="dxa"/>
            <w:left w:w="0" w:type="dxa"/>
            <w:bottom w:w="0" w:type="dxa"/>
            <w:right w:w="0" w:type="dxa"/>
          </w:tblCellMar>
        </w:tblPrEx>
        <w:trPr>
          <w:trHeight w:val="69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数量指标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完成储备任务量</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30万吨</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累计调入量为128.18万吨，月平均库存量为22.04万吨。</w:t>
            </w:r>
          </w:p>
        </w:tc>
      </w:tr>
      <w:tr>
        <w:tblPrEx>
          <w:tblCellMar>
            <w:top w:w="0" w:type="dxa"/>
            <w:left w:w="0" w:type="dxa"/>
            <w:bottom w:w="0" w:type="dxa"/>
            <w:right w:w="0" w:type="dxa"/>
          </w:tblCellMar>
        </w:tblPrEx>
        <w:trPr>
          <w:trHeight w:val="83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项目完成指标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质量指标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rPr>
              <w:t>省级化肥淡季储备评审合格率</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w:t>
            </w:r>
          </w:p>
        </w:tc>
      </w:tr>
      <w:tr>
        <w:tblPrEx>
          <w:tblCellMar>
            <w:top w:w="0" w:type="dxa"/>
            <w:left w:w="0" w:type="dxa"/>
            <w:bottom w:w="0" w:type="dxa"/>
            <w:right w:w="0" w:type="dxa"/>
          </w:tblCellMar>
        </w:tblPrEx>
        <w:trPr>
          <w:trHeight w:val="935"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效益指标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社会效益指标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省级化肥淡季储备影响率</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99%</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99%</w:t>
            </w:r>
          </w:p>
        </w:tc>
      </w:tr>
      <w:tr>
        <w:tblPrEx>
          <w:tblCellMar>
            <w:top w:w="0" w:type="dxa"/>
            <w:left w:w="0" w:type="dxa"/>
            <w:bottom w:w="0" w:type="dxa"/>
            <w:right w:w="0" w:type="dxa"/>
          </w:tblCellMar>
        </w:tblPrEx>
        <w:trPr>
          <w:trHeight w:val="770" w:hRule="atLeast"/>
          <w:jc w:val="center"/>
        </w:trPr>
        <w:tc>
          <w:tcPr>
            <w:tcW w:w="72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效益指标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可持续影响指标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储备影响年限</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≥1年</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≥1年</w:t>
            </w:r>
          </w:p>
        </w:tc>
      </w:tr>
      <w:tr>
        <w:tblPrEx>
          <w:tblCellMar>
            <w:top w:w="0" w:type="dxa"/>
            <w:left w:w="0" w:type="dxa"/>
            <w:bottom w:w="0" w:type="dxa"/>
            <w:right w:w="0" w:type="dxa"/>
          </w:tblCellMar>
        </w:tblPrEx>
        <w:trPr>
          <w:trHeight w:val="667" w:hRule="atLeast"/>
          <w:jc w:val="center"/>
        </w:trPr>
        <w:tc>
          <w:tcPr>
            <w:tcW w:w="72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p>
        </w:tc>
        <w:tc>
          <w:tcPr>
            <w:tcW w:w="10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满意度指标</w:t>
            </w:r>
          </w:p>
        </w:tc>
        <w:tc>
          <w:tcPr>
            <w:tcW w:w="24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服务对象满意度</w:t>
            </w:r>
          </w:p>
        </w:tc>
        <w:tc>
          <w:tcPr>
            <w:tcW w:w="14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25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≥95%</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2.单位绩效评价结果。</w:t>
      </w:r>
    </w:p>
    <w:p>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本单位自行组织对省级棉花储备贴息项目、省级化肥储备贴息项目开展了绩效评价，《2020年部门预算项目支出绩效自评报告》见附件（第四部分）。</w:t>
      </w:r>
    </w:p>
    <w:p>
      <w:pPr>
        <w:pStyle w:val="2"/>
        <w:spacing w:before="93"/>
        <w:rPr>
          <w:rFonts w:hAnsi="仿宋_GB2312" w:cs="仿宋_GB2312"/>
          <w:color w:val="FF0000"/>
          <w:sz w:val="32"/>
          <w:szCs w:val="32"/>
        </w:rPr>
      </w:pPr>
    </w:p>
    <w:p>
      <w:pPr>
        <w:spacing w:line="580" w:lineRule="exact"/>
        <w:jc w:val="center"/>
        <w:outlineLvl w:val="0"/>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pStyle w:val="2"/>
        <w:spacing w:before="93"/>
        <w:rPr>
          <w:rFonts w:ascii="黑体" w:hAnsi="黑体" w:eastAsia="黑体"/>
          <w:color w:val="000000"/>
          <w:sz w:val="44"/>
          <w:szCs w:val="44"/>
        </w:rPr>
      </w:pPr>
    </w:p>
    <w:p>
      <w:pPr>
        <w:spacing w:line="580" w:lineRule="exact"/>
        <w:jc w:val="center"/>
        <w:outlineLvl w:val="0"/>
        <w:rPr>
          <w:rFonts w:ascii="黑体" w:hAnsi="黑体" w:eastAsia="黑体"/>
          <w:color w:val="000000"/>
          <w:sz w:val="44"/>
          <w:szCs w:val="44"/>
        </w:rPr>
      </w:pPr>
    </w:p>
    <w:p>
      <w:pPr>
        <w:spacing w:line="580" w:lineRule="exact"/>
        <w:jc w:val="center"/>
        <w:outlineLvl w:val="0"/>
        <w:rPr>
          <w:rStyle w:val="27"/>
          <w:rFonts w:ascii="黑体" w:hAnsi="黑体" w:eastAsia="黑体"/>
          <w:b w:val="0"/>
        </w:rPr>
      </w:pPr>
      <w:bookmarkStart w:id="69" w:name="_GoBack"/>
      <w:bookmarkEnd w:id="69"/>
      <w:r>
        <w:rPr>
          <w:rFonts w:hint="eastAsia" w:ascii="黑体" w:hAnsi="黑体" w:eastAsia="黑体"/>
          <w:color w:val="000000"/>
          <w:sz w:val="44"/>
          <w:szCs w:val="44"/>
        </w:rPr>
        <w:t>第三部分 名</w:t>
      </w:r>
      <w:r>
        <w:rPr>
          <w:rStyle w:val="27"/>
          <w:rFonts w:hint="eastAsia" w:ascii="黑体" w:hAnsi="黑体" w:eastAsia="黑体"/>
          <w:b w:val="0"/>
        </w:rPr>
        <w:t>词解释</w:t>
      </w:r>
      <w:bookmarkEnd w:id="51"/>
      <w:bookmarkEnd w:id="52"/>
    </w:p>
    <w:p>
      <w:pPr>
        <w:spacing w:line="580" w:lineRule="exact"/>
        <w:jc w:val="left"/>
        <w:rPr>
          <w:rFonts w:ascii="宋体"/>
          <w:b/>
          <w:color w:val="000000"/>
          <w:sz w:val="30"/>
          <w:szCs w:val="30"/>
        </w:rPr>
      </w:pPr>
    </w:p>
    <w:p>
      <w:pPr>
        <w:pStyle w:val="25"/>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5"/>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2.其他收入：指单位取得的除上述收入以外的各项收入。 </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rPr>
        <w:t>.一般公共服务支出（类）商贸事务（款）行政运行（项）：指行政单位（包括实行公务员管理的事业单位）的基本支出。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sz w:val="32"/>
          <w:szCs w:val="32"/>
        </w:rPr>
        <w:t>.一般公共服务支出（类）其他一般公共服务支出（款）其他一般公共服务支出（项）：指除上述项目以外的其他一般公共服务支出。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教育支出（类）进修及培训（款）培训支出（项）：指各部门安排的用于培训的支出。教育部门的师资培训，党校、行政学院等专业干部教育机构的支出，以及退役士兵、转业士官的培训支出，不在本科目反映。</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6.社会保障和就业支出（类）行政事业单位养老支出（款）行政单位离退休（项）：指行政单位（包括实行公务员管理的事业单位）开支的离退休经费。</w:t>
      </w:r>
    </w:p>
    <w:p>
      <w:pPr>
        <w:pStyle w:val="2"/>
        <w:spacing w:before="93"/>
        <w:ind w:firstLine="640"/>
        <w:rPr>
          <w:rFonts w:hAnsi="仿宋_GB2312" w:cs="仿宋_GB2312"/>
          <w:color w:val="000000"/>
          <w:sz w:val="32"/>
          <w:szCs w:val="32"/>
        </w:rPr>
      </w:pPr>
      <w:r>
        <w:rPr>
          <w:rFonts w:hint="eastAsia" w:hAnsi="仿宋_GB2312" w:cs="仿宋_GB2312"/>
          <w:color w:val="000000"/>
          <w:sz w:val="32"/>
          <w:szCs w:val="32"/>
        </w:rPr>
        <w:t xml:space="preserve">7.社会保障和就业支出（类）行政事业单位养老支出（款）机关事业单位基本养老保险缴费支出（项）：指机关事业单位实施养老保险制度由单位缴纳的基本养老保险支出。  </w:t>
      </w:r>
    </w:p>
    <w:p>
      <w:pPr>
        <w:pStyle w:val="2"/>
        <w:spacing w:before="93"/>
        <w:ind w:firstLine="640"/>
        <w:rPr>
          <w:rFonts w:hAnsi="仿宋_GB2312" w:cs="仿宋_GB2312"/>
          <w:color w:val="000000"/>
          <w:sz w:val="32"/>
          <w:szCs w:val="32"/>
        </w:rPr>
      </w:pPr>
      <w:r>
        <w:rPr>
          <w:rFonts w:hint="eastAsia" w:hAnsi="仿宋_GB2312" w:cs="仿宋_GB2312"/>
          <w:color w:val="000000"/>
          <w:sz w:val="32"/>
          <w:szCs w:val="32"/>
        </w:rPr>
        <w:t xml:space="preserve">8.社会保障和就业支出（类）行政事业单位养老支出（款）机关事业单位职业年金缴费支出（项）：指机关事业单位实施养老保险制度由单位实际缴纳的职业年金支出。 </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9.社会保障和就业支出（类）抚恤（款）死亡抚恤（项）：指按规定用于烈士和牺牲、病故人员家属的一次性和定期抚恤金以及丧葬补助费。</w:t>
      </w:r>
    </w:p>
    <w:p>
      <w:pPr>
        <w:pStyle w:val="2"/>
        <w:spacing w:before="93"/>
        <w:ind w:firstLine="640" w:firstLineChars="200"/>
        <w:rPr>
          <w:sz w:val="32"/>
          <w:szCs w:val="32"/>
        </w:rPr>
      </w:pPr>
      <w:r>
        <w:rPr>
          <w:rFonts w:hint="eastAsia"/>
          <w:sz w:val="32"/>
          <w:szCs w:val="32"/>
        </w:rPr>
        <w:t>10.社会保障和就业支出（类）其他社会保障和就业支出（款）其他社会保障和就业支出（项）：指除上述项目以外其他用于社会保障和就业方面的支出。</w:t>
      </w:r>
    </w:p>
    <w:p>
      <w:pPr>
        <w:pStyle w:val="2"/>
        <w:spacing w:before="93"/>
        <w:ind w:firstLine="640" w:firstLineChars="200"/>
        <w:rPr>
          <w:sz w:val="32"/>
          <w:szCs w:val="32"/>
        </w:rPr>
      </w:pPr>
      <w:r>
        <w:rPr>
          <w:rFonts w:hint="eastAsia"/>
          <w:sz w:val="32"/>
          <w:szCs w:val="32"/>
        </w:rPr>
        <w:t>11.卫生健康支出（类）行政事业单位医疗（款）行政单位医疗（项）：指财政部门安排的行政单位（包括实行公务员管理的事业单位，下同）基本医疗保险缴费经费，未参加医疗保险的事业单位的公费医疗经费，按国家规定享受离休人员待遇人员的医疗经费。</w:t>
      </w:r>
    </w:p>
    <w:p>
      <w:pPr>
        <w:pStyle w:val="2"/>
        <w:spacing w:before="93"/>
        <w:ind w:firstLine="640" w:firstLineChars="200"/>
        <w:rPr>
          <w:sz w:val="32"/>
          <w:szCs w:val="32"/>
        </w:rPr>
      </w:pPr>
      <w:r>
        <w:rPr>
          <w:rFonts w:hint="eastAsia"/>
          <w:sz w:val="32"/>
          <w:szCs w:val="32"/>
        </w:rPr>
        <w:t>12.医疗卫生与计划生育支出（类）行政事业单位医疗（款）公务员医疗补助（项）：指财政部门安排的公务员医疗补助经费。</w:t>
      </w:r>
    </w:p>
    <w:p>
      <w:pPr>
        <w:pStyle w:val="2"/>
        <w:spacing w:before="93"/>
        <w:ind w:firstLine="640" w:firstLineChars="200"/>
        <w:rPr>
          <w:sz w:val="32"/>
          <w:szCs w:val="32"/>
        </w:rPr>
      </w:pPr>
      <w:r>
        <w:rPr>
          <w:rFonts w:hint="eastAsia"/>
          <w:sz w:val="32"/>
          <w:szCs w:val="32"/>
        </w:rPr>
        <w:t>13.商业服务业等支出（类）商业流通事务（款）行政运行（项）：指行政单位（包括实行公务员管理的事业单位）的基本支出。</w:t>
      </w:r>
    </w:p>
    <w:p>
      <w:pPr>
        <w:pStyle w:val="2"/>
        <w:spacing w:before="93"/>
        <w:ind w:firstLine="640" w:firstLineChars="200"/>
        <w:rPr>
          <w:sz w:val="32"/>
          <w:szCs w:val="32"/>
        </w:rPr>
      </w:pPr>
      <w:r>
        <w:rPr>
          <w:rFonts w:hint="eastAsia"/>
          <w:sz w:val="32"/>
          <w:szCs w:val="32"/>
        </w:rPr>
        <w:t>14.商业服务业等支出（类）商业流通事务（款）一般行政管理事务（项）：指行政单位（包括实行公务员管理的事业单位）未单独设置项级科目的其他项目支出。</w:t>
      </w:r>
    </w:p>
    <w:p>
      <w:pPr>
        <w:pStyle w:val="2"/>
        <w:spacing w:before="93"/>
        <w:ind w:firstLine="640" w:firstLineChars="200"/>
        <w:rPr>
          <w:sz w:val="32"/>
          <w:szCs w:val="32"/>
        </w:rPr>
      </w:pPr>
      <w:r>
        <w:rPr>
          <w:rFonts w:hint="eastAsia"/>
          <w:sz w:val="32"/>
          <w:szCs w:val="32"/>
        </w:rPr>
        <w:t>15.商业服务业等支出（类）商业流通事务（款）其他商业流通事务支出（项）：指除上述项目以外其他用于商业流通事务方面的支出。</w:t>
      </w:r>
    </w:p>
    <w:p>
      <w:pPr>
        <w:pStyle w:val="2"/>
        <w:spacing w:before="93"/>
        <w:ind w:firstLine="640" w:firstLineChars="200"/>
        <w:rPr>
          <w:sz w:val="32"/>
          <w:szCs w:val="32"/>
        </w:rPr>
      </w:pPr>
      <w:r>
        <w:rPr>
          <w:rFonts w:hint="eastAsia"/>
          <w:sz w:val="32"/>
          <w:szCs w:val="32"/>
        </w:rPr>
        <w:t>16.住房保障支出（类）住房改革支出（款）住房公积金（项）：指行政事业单位按人力资源和社会保障部、财政部规定的基本工资和津贴补贴以及规定比例为职工缴纳的住房公积金。</w:t>
      </w:r>
    </w:p>
    <w:p>
      <w:pPr>
        <w:pStyle w:val="2"/>
        <w:spacing w:before="93"/>
        <w:ind w:firstLine="640" w:firstLineChars="200"/>
        <w:rPr>
          <w:sz w:val="32"/>
          <w:szCs w:val="32"/>
        </w:rPr>
      </w:pPr>
      <w:r>
        <w:rPr>
          <w:rFonts w:hint="eastAsia"/>
          <w:sz w:val="32"/>
          <w:szCs w:val="32"/>
        </w:rPr>
        <w:t>17.住房保障支出（类）住房改革支出（款）购房补贴（项）：指按房改政策规定，行政事业单位向符合条件职工（含离退休人员）、军队（含武警）向转役复原离退休人员发放的用于购买住房的补贴。</w:t>
      </w:r>
    </w:p>
    <w:p>
      <w:pPr>
        <w:pStyle w:val="2"/>
        <w:spacing w:before="93"/>
        <w:ind w:firstLine="640" w:firstLineChars="200"/>
        <w:rPr>
          <w:sz w:val="32"/>
          <w:szCs w:val="32"/>
        </w:rPr>
      </w:pPr>
      <w:r>
        <w:rPr>
          <w:rFonts w:hint="eastAsia"/>
          <w:sz w:val="32"/>
          <w:szCs w:val="32"/>
        </w:rPr>
        <w:t>18.粮油物资储备支出（类）重要商品储备（款）棉花储备（项）：指棉花专项储备的有关支出。</w:t>
      </w:r>
    </w:p>
    <w:p>
      <w:pPr>
        <w:pStyle w:val="2"/>
        <w:spacing w:before="93"/>
        <w:ind w:firstLine="640" w:firstLineChars="200"/>
        <w:rPr>
          <w:sz w:val="32"/>
          <w:szCs w:val="32"/>
        </w:rPr>
      </w:pPr>
      <w:r>
        <w:rPr>
          <w:rFonts w:hint="eastAsia"/>
          <w:sz w:val="32"/>
          <w:szCs w:val="32"/>
        </w:rPr>
        <w:t>19.粮油物资储备支出（类）重要商品储备（款）化肥储备（项）：指化肥专项储备（包括化肥淡季商业储备、救灾化肥储备等）的有关支出。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20.灾害防治及应急管理支出（类）应急管理事务（款）  安全监管（项）：指安全生产监管方面的支出。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21.基本支出：指为保障机构正常运转、完成日常工作任务而发生的人员支出和公用支出。</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22.项目支出：指在基本支出之外为完成特定行政任务和事业发展目标所发生的支出。 </w:t>
      </w:r>
    </w:p>
    <w:p>
      <w:pPr>
        <w:pStyle w:val="25"/>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pStyle w:val="25"/>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Style w:val="27"/>
          <w:rFonts w:ascii="黑体" w:hAnsi="黑体" w:eastAsia="黑体"/>
          <w:b w:val="0"/>
        </w:rPr>
      </w:pPr>
      <w:bookmarkStart w:id="53" w:name="_Toc15396614"/>
      <w:bookmarkStart w:id="54" w:name="_Toc15377226"/>
      <w:r>
        <w:rPr>
          <w:rFonts w:hint="eastAsia" w:ascii="黑体" w:hAnsi="黑体" w:eastAsia="黑体"/>
          <w:sz w:val="44"/>
          <w:szCs w:val="44"/>
        </w:rPr>
        <w:t>第</w:t>
      </w:r>
      <w:r>
        <w:rPr>
          <w:rStyle w:val="27"/>
          <w:rFonts w:hint="eastAsia" w:ascii="黑体" w:hAnsi="黑体" w:eastAsia="黑体"/>
          <w:b w:val="0"/>
        </w:rPr>
        <w:t>四部分 附件</w:t>
      </w:r>
      <w:bookmarkEnd w:id="53"/>
    </w:p>
    <w:p>
      <w:pPr>
        <w:adjustRightInd w:val="0"/>
        <w:snapToGrid w:val="0"/>
        <w:spacing w:line="560" w:lineRule="exact"/>
        <w:rPr>
          <w:rFonts w:ascii="仿宋_GB2312" w:hAnsi="仿宋_GB2312" w:eastAsia="黑体" w:cs="仿宋_GB2312"/>
          <w:sz w:val="32"/>
          <w:szCs w:val="32"/>
        </w:rPr>
      </w:pPr>
      <w:r>
        <w:rPr>
          <w:rFonts w:hint="eastAsia" w:ascii="黑体" w:hAnsi="黑体" w:eastAsia="黑体" w:cs="黑体"/>
          <w:sz w:val="32"/>
          <w:szCs w:val="32"/>
        </w:rPr>
        <w:t>附件3</w:t>
      </w:r>
    </w:p>
    <w:p>
      <w:pPr>
        <w:adjustRightInd w:val="0"/>
        <w:snapToGrid w:val="0"/>
        <w:spacing w:line="560" w:lineRule="exact"/>
        <w:jc w:val="center"/>
        <w:rPr>
          <w:rFonts w:ascii="方正小标宋简体" w:hAnsi="宋体" w:eastAsia="方正小标宋简体"/>
          <w:color w:val="FF0000"/>
          <w:sz w:val="44"/>
          <w:szCs w:val="44"/>
        </w:rPr>
      </w:pPr>
    </w:p>
    <w:p>
      <w:pPr>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2020年部门预算项目支出绩效自评报告</w:t>
      </w:r>
    </w:p>
    <w:p>
      <w:pPr>
        <w:tabs>
          <w:tab w:val="left" w:pos="3885"/>
        </w:tabs>
        <w:adjustRightInd w:val="0"/>
        <w:snapToGrid w:val="0"/>
        <w:spacing w:line="560" w:lineRule="exact"/>
        <w:jc w:val="center"/>
        <w:rPr>
          <w:rFonts w:hAnsi="宋体" w:eastAsia="仿宋_GB2312"/>
          <w:sz w:val="32"/>
          <w:szCs w:val="32"/>
        </w:rPr>
      </w:pPr>
      <w:r>
        <w:rPr>
          <w:rFonts w:hint="eastAsia" w:hAnsi="宋体" w:eastAsia="仿宋_GB2312"/>
          <w:sz w:val="32"/>
          <w:szCs w:val="32"/>
        </w:rPr>
        <w:t>（省级棉花储备贴息项目）</w:t>
      </w:r>
    </w:p>
    <w:p>
      <w:pPr>
        <w:tabs>
          <w:tab w:val="left" w:pos="3885"/>
        </w:tabs>
        <w:adjustRightInd w:val="0"/>
        <w:snapToGrid w:val="0"/>
        <w:spacing w:line="560" w:lineRule="exact"/>
        <w:ind w:firstLine="643" w:firstLineChars="200"/>
        <w:rPr>
          <w:rFonts w:ascii="仿宋_GB2312" w:hAnsi="仿宋_GB2312" w:eastAsia="仿宋_GB2312" w:cs="仿宋_GB2312"/>
          <w:b/>
          <w:sz w:val="32"/>
          <w:szCs w:val="32"/>
        </w:rPr>
      </w:pPr>
    </w:p>
    <w:p>
      <w:pPr>
        <w:pStyle w:val="2"/>
        <w:spacing w:before="93"/>
      </w:pPr>
      <w:r>
        <w:rPr>
          <w:rFonts w:hint="eastAsia" w:hAnsi="仿宋_GB2312" w:cs="仿宋_GB2312"/>
          <w:bCs/>
          <w:sz w:val="32"/>
          <w:szCs w:val="32"/>
        </w:rPr>
        <w:t xml:space="preserve"> </w:t>
      </w:r>
      <w:r>
        <w:rPr>
          <w:rFonts w:hint="eastAsia" w:hAnsi="仿宋_GB2312" w:cs="仿宋_GB2312"/>
          <w:bCs/>
          <w:sz w:val="32"/>
          <w:szCs w:val="32"/>
          <w:lang w:val="en-US" w:eastAsia="zh-CN"/>
        </w:rPr>
        <w:t xml:space="preserve">   </w:t>
      </w:r>
      <w:r>
        <w:rPr>
          <w:rFonts w:hint="eastAsia" w:hAnsi="仿宋_GB2312" w:cs="仿宋_GB2312"/>
          <w:bCs/>
          <w:sz w:val="32"/>
          <w:szCs w:val="32"/>
        </w:rPr>
        <w:t>根据绩效评价工作的相关要求，我社对省级棉花储备项目进行了绩效自评，现将情况报告如下：</w:t>
      </w:r>
    </w:p>
    <w:p>
      <w:pPr>
        <w:tabs>
          <w:tab w:val="left" w:pos="3885"/>
        </w:tabs>
        <w:adjustRightInd w:val="0"/>
        <w:snapToGrid w:val="0"/>
        <w:spacing w:line="560" w:lineRule="exact"/>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一、基本情况</w:t>
      </w:r>
    </w:p>
    <w:p>
      <w:pPr>
        <w:tabs>
          <w:tab w:val="left" w:pos="3885"/>
        </w:tabs>
        <w:adjustRightInd w:val="0"/>
        <w:snapToGrid w:val="0"/>
        <w:spacing w:line="560" w:lineRule="exact"/>
        <w:ind w:firstLine="643" w:firstLineChars="200"/>
        <w:jc w:val="left"/>
        <w:rPr>
          <w:rFonts w:ascii="仿宋_GB2312" w:hAnsi="仿宋_GB2312" w:eastAsia="仿宋_GB2312" w:cs="仿宋_GB2312"/>
          <w:b/>
          <w:sz w:val="32"/>
          <w:szCs w:val="32"/>
        </w:rPr>
      </w:pPr>
      <w:r>
        <w:rPr>
          <w:rFonts w:hint="eastAsia" w:ascii="方正楷体_GBK" w:hAnsi="方正楷体_GBK" w:eastAsia="方正楷体_GBK" w:cs="方正楷体_GBK"/>
          <w:b/>
          <w:sz w:val="32"/>
          <w:szCs w:val="32"/>
        </w:rPr>
        <w:t>（一）项目概况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2000年以来，我省纺织工业通过改制重组、技术改造、招商引资和承接东部纺织产业转移，得到了长足发展，社会纱锭规模达300多万锭，棉花原料需求逐年扩大。但2001年棉花市场全面放开后，受气候条件、种植成本、粮棉比较优势、市场价格波动及农村种植结构调整等因素影响，四川地区棉花种植面积、产量持续大幅下降，纺织、民用以及救灾等棉花基本上依赖外购。受棉花出疆运力紧张、棉花上市时间集中等因素影响，长期存在季节性供需矛盾，导致川内棉价高于全国平均水平，省内市场波动频繁，严重削弱了我省纺织工业竞争力，不利于纺织产业发展。同时，我省自然灾害多发，救灾、扶贫等应急用棉需求量大，省内也没有国储棉库存，市场和应急调控能力严重不足。</w:t>
      </w:r>
    </w:p>
    <w:p>
      <w:pPr>
        <w:adjustRightInd w:val="0"/>
        <w:snapToGrid w:val="0"/>
        <w:spacing w:line="560" w:lineRule="exact"/>
        <w:ind w:firstLine="633" w:firstLineChars="198"/>
        <w:rPr>
          <w:rFonts w:ascii="仿宋_GB2312" w:hAnsi="仿宋_GB2312" w:eastAsia="仿宋_GB2312" w:cs="仿宋_GB2312"/>
          <w:sz w:val="32"/>
          <w:szCs w:val="32"/>
        </w:rPr>
      </w:pPr>
      <w:r>
        <w:rPr>
          <w:rFonts w:hint="eastAsia" w:ascii="仿宋_GB2312" w:hAnsi="仿宋_GB2312" w:eastAsia="仿宋_GB2312" w:cs="仿宋_GB2312"/>
          <w:sz w:val="32"/>
          <w:szCs w:val="32"/>
        </w:rPr>
        <w:t>为稳定省内棉花市场，促进纺织工业健康发展，增强抗震救灾等应急用棉能力，省财政从2005年起安排150万元专项资金用于棉花省级棉花储备贴息，补助四川省供销合作社联合社直属企业四川省棉麻集团有限公司用于棉花轮入、调运、储存、轮出所需贷款资金的利息支出，本年度实施周期为2020年7月1日—2021年6月30日。</w:t>
      </w:r>
    </w:p>
    <w:p>
      <w:pPr>
        <w:tabs>
          <w:tab w:val="left" w:pos="3885"/>
        </w:tabs>
        <w:adjustRightInd w:val="0"/>
        <w:snapToGrid w:val="0"/>
        <w:spacing w:line="560" w:lineRule="exact"/>
        <w:ind w:firstLine="643" w:firstLineChars="200"/>
        <w:jc w:val="left"/>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（二）项目实施情况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承储企业为四川省棉麻集团有限公司。该司作为西南地区唯一的一家棉花大型收购、加工、流通企业，长期从事棉花调运工作，购销网络遍及全国，年经营量达6万吨以上，具备棉花储备能力，一是在新疆通过自建、合作等方式建有多个棉花资源基地，棉花资源网络健全，掌控的棉花质量较好，能充分满足省内纺织企业加工及应急需要；二是公司是省内棉花流通骨干企业，与省内绝大部分纺织企业建立了业务合作关系，棉花投放网络遍及全省，市场快速投放能力极强；三是棉花仓储物流基础设施完善，在德阳、龙泉、新疆等地控制数个物流基地，交通便捷，设施齐备，仓储能力达5万余吨，且为全国棉花交易市场指定交割监管库、国储棉承储库，仓库管理规范严格；四是在计划经济时期，公司长期承担棉花储备任务，有一支专业的棉花储备管理队伍，建立了完善的储备棉管理制度，并在2012、2013年承担了国家储备棉大单收储任务，储备经验丰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为保证顺利完成储备任务，四川省棉麻集团有限公司开展了以下几方面建设工作：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1.和西南棉花监测系统积极联系。</w:t>
      </w:r>
      <w:r>
        <w:rPr>
          <w:rFonts w:hint="eastAsia" w:ascii="仿宋_GB2312" w:hAnsi="仿宋_GB2312" w:eastAsia="仿宋_GB2312" w:cs="仿宋_GB2312"/>
          <w:sz w:val="32"/>
          <w:szCs w:val="32"/>
        </w:rPr>
        <w:t>公司积极联西南棉花监测系统，进行数据收集、信息分析、资源发布、意见反馈等。</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完善储备物流基础设施。公司先后在龙泉、德阳、芦山等地建立了覆盖全省的棉花物流配送和应急调控网络，并在德阳建立了四川棉花储备调控中心，在新疆与北京交易市场监管的多个仓库保持常年稳定合作关系。</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建立储备资源基地。2014年以来，公司先后在库尔勒、和田、乌苏、尉犁等棉花主产区建立了棉花资源基地，并在乌鲁木齐、库尔勒建立工作办事处，专门从事棉花调销，掌控调控资源达2万吨，满足全省需求，并为平抑棉价、应急供应提供了充足的资源保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4.建立了棉花电子商务平台。公司联合业内知名的中储棉总公司、浙江特产、河南同舟在北京建</w:t>
      </w:r>
      <w:r>
        <w:rPr>
          <w:rFonts w:hint="eastAsia" w:ascii="仿宋_GB2312" w:hAnsi="仿宋_GB2312" w:eastAsia="仿宋_GB2312" w:cs="仿宋_GB2312"/>
          <w:sz w:val="32"/>
          <w:szCs w:val="32"/>
        </w:rPr>
        <w:t>立了“e棉仓电子商务平台”，是支撑纺织企业自主开展从线上到线下业务的公共信息平台，减少中间环节，降低成本，提高我省纺织工业竞争力。</w:t>
      </w:r>
    </w:p>
    <w:p>
      <w:pPr>
        <w:tabs>
          <w:tab w:val="left" w:pos="3885"/>
        </w:tabs>
        <w:adjustRightInd w:val="0"/>
        <w:snapToGrid w:val="0"/>
        <w:spacing w:line="560" w:lineRule="exact"/>
        <w:ind w:firstLine="643" w:firstLineChars="200"/>
        <w:jc w:val="left"/>
        <w:rPr>
          <w:rFonts w:ascii="仿宋_GB2312" w:hAnsi="仿宋_GB2312" w:eastAsia="仿宋_GB2312" w:cs="仿宋_GB2312"/>
          <w:b/>
          <w:sz w:val="32"/>
          <w:szCs w:val="32"/>
        </w:rPr>
      </w:pPr>
      <w:r>
        <w:rPr>
          <w:rFonts w:hint="eastAsia" w:ascii="方正楷体_GBK" w:hAnsi="方正楷体_GBK" w:eastAsia="方正楷体_GBK" w:cs="方正楷体_GBK"/>
          <w:b/>
          <w:sz w:val="32"/>
          <w:szCs w:val="32"/>
        </w:rPr>
        <w:t>（三）资金投入使用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部门预算安排150万元。根据《关于申请拨付2020年省级供销综合改革及发展专项资金用于补充化肥和棉花商业储备贴息补助的函》，省财政拨付500万元用于疫情期间的稳价保供，其中补助棉花储备贴息补助200万元。四川省棉麻集团有限公司已投入资金完成储备任务，省级棉花储备2019—2020年度财政补贴资金合计350万元也已到位。</w:t>
      </w:r>
    </w:p>
    <w:p>
      <w:pPr>
        <w:tabs>
          <w:tab w:val="left" w:pos="3885"/>
        </w:tabs>
        <w:adjustRightInd w:val="0"/>
        <w:snapToGrid w:val="0"/>
        <w:spacing w:line="560" w:lineRule="exact"/>
        <w:ind w:firstLine="643" w:firstLineChars="200"/>
        <w:jc w:val="left"/>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（四）项目绩效目标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我省纺织工业需求和应急用棉实际，棉花省级储备贴息项目目标是：通过在新疆等棉花主产区收购加工棉花，调运到川内，年经营滚动储备棉花3万吨，搭建集市场监测、信息收集、市场调控、应急供应等功能于一体的储备平台，构建政府抓得住、用得上、强有力的棉花市场调控和应急保障网络，实现稳定棉花市场价格、促进纺织工业健康发展、满足抗震救灾应急需求等三大目标。</w:t>
      </w:r>
    </w:p>
    <w:p>
      <w:pPr>
        <w:tabs>
          <w:tab w:val="left" w:pos="3885"/>
        </w:tabs>
        <w:adjustRightInd w:val="0"/>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二、评价工作开展情况</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方正楷体_GBK" w:hAnsi="方正楷体_GBK" w:eastAsia="方正楷体_GBK" w:cs="方正楷体_GBK"/>
          <w:b/>
          <w:sz w:val="32"/>
          <w:szCs w:val="32"/>
        </w:rPr>
        <w:t>（一）评价组织情况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共选取5个实施节点开展现场评价：四川省棉麻集团有限公司、四川省德阳八六信箱、新疆西部汇通棉业有限公司、乌苏市康隆棉业有限公司、华芳集团有限公司。涵盖了储备主体、仓库、资源基地、受益群体等各个方面。</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方正楷体_GBK" w:hAnsi="方正楷体_GBK" w:eastAsia="方正楷体_GBK" w:cs="方正楷体_GBK"/>
          <w:b/>
          <w:sz w:val="32"/>
          <w:szCs w:val="32"/>
        </w:rPr>
        <w:t>（二）评价指标体系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文件要求，具体评价从三个指标进行，一级指标：项目决策、项目管理、项目完成、项目效果；二级指标：绩效目标、决策依据、资金分配、分配结果、资金到位、资金管理、财务管理、组织实施、完成数量、完成质量、完成时间、经济效益、功能实现、社会效益；三级指标：目标内容、预期效益、进度计划、目标需求、政策依据、实施规划、管理制度、决策程序、分配方式、分配过程、分配时效、项目审核、支持方向、资金集中、财政资金到位率、配套资金到位率、拨付进度、使用范围、支付依据、开支标准、财务制度、会计核算、项目调整、制度执行、项目规模、项目标准、项目时限、投入产出率、利税增长率、实现计划能力、受益群体满意度。</w:t>
      </w:r>
    </w:p>
    <w:p>
      <w:pPr>
        <w:adjustRightInd w:val="0"/>
        <w:snapToGrid w:val="0"/>
        <w:spacing w:line="560" w:lineRule="exact"/>
        <w:ind w:firstLine="643" w:firstLineChars="200"/>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（三）评价方法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相关文件要求，收集项目文件资料、细化评价指标及评价标准，深入到项目网点，实地查看内控资料、账务、社会单位满意度等情况，收集相关数据资料，通过汇总整理，定量和定性分析形成评价结论，经过修改后，形成自评报告。</w:t>
      </w:r>
    </w:p>
    <w:p>
      <w:pPr>
        <w:adjustRightInd w:val="0"/>
        <w:snapToGrid w:val="0"/>
        <w:spacing w:line="560" w:lineRule="exact"/>
        <w:ind w:firstLine="643" w:firstLineChars="200"/>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（四）评价标准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项目整体评价要求有充分的决策依据，明确的绩效目标，按时完成储备任务，合理分配资金，有配套的管理制度，有明显的社会效益和经济效益。</w:t>
      </w:r>
    </w:p>
    <w:p>
      <w:pPr>
        <w:adjustRightInd w:val="0"/>
        <w:snapToGrid w:val="0"/>
        <w:spacing w:line="560" w:lineRule="exact"/>
        <w:ind w:firstLine="640" w:firstLineChars="200"/>
        <w:rPr>
          <w:rFonts w:ascii="仿宋_GB2312" w:hAnsi="仿宋_GB2312" w:eastAsia="仿宋_GB2312" w:cs="仿宋_GB2312"/>
          <w:b/>
          <w:sz w:val="32"/>
          <w:szCs w:val="32"/>
        </w:rPr>
      </w:pPr>
      <w:r>
        <w:rPr>
          <w:rFonts w:hint="eastAsia" w:ascii="黑体" w:hAnsi="黑体" w:eastAsia="黑体" w:cs="黑体"/>
          <w:bCs/>
          <w:sz w:val="32"/>
          <w:szCs w:val="32"/>
        </w:rPr>
        <w:t>三、综合评价结论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总体上看，该项目决策依据充分，绩效目标明确，项目完成较好，发挥了公益性职能，社会效益明显。存在的问题主要反映在储备能力还需进一步加强、资源控制规模还应提高等方面。该项目自评得分为99分，具体详见下表：</w:t>
      </w:r>
    </w:p>
    <w:tbl>
      <w:tblPr>
        <w:tblStyle w:val="14"/>
        <w:tblpPr w:leftFromText="180" w:rightFromText="180" w:vertAnchor="text" w:horzAnchor="page" w:tblpX="1897" w:tblpY="577"/>
        <w:tblOverlap w:val="never"/>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404"/>
        <w:gridCol w:w="1815"/>
        <w:gridCol w:w="865"/>
        <w:gridCol w:w="739"/>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27" w:type="dxa"/>
            <w:vAlign w:val="center"/>
          </w:tcPr>
          <w:p>
            <w:pPr>
              <w:widowControl/>
              <w:snapToGrid w:val="0"/>
              <w:spacing w:line="640" w:lineRule="exact"/>
              <w:jc w:val="center"/>
              <w:rPr>
                <w:b/>
                <w:kern w:val="0"/>
                <w:sz w:val="24"/>
              </w:rPr>
            </w:pPr>
            <w:r>
              <w:rPr>
                <w:b/>
                <w:kern w:val="0"/>
                <w:sz w:val="24"/>
              </w:rPr>
              <w:t>一级指标</w:t>
            </w:r>
          </w:p>
        </w:tc>
        <w:tc>
          <w:tcPr>
            <w:tcW w:w="1404" w:type="dxa"/>
            <w:vAlign w:val="center"/>
          </w:tcPr>
          <w:p>
            <w:pPr>
              <w:widowControl/>
              <w:snapToGrid w:val="0"/>
              <w:spacing w:line="640" w:lineRule="exact"/>
              <w:jc w:val="center"/>
              <w:rPr>
                <w:b/>
                <w:bCs/>
                <w:kern w:val="0"/>
                <w:sz w:val="24"/>
              </w:rPr>
            </w:pPr>
            <w:r>
              <w:rPr>
                <w:b/>
                <w:bCs/>
                <w:kern w:val="0"/>
                <w:sz w:val="24"/>
              </w:rPr>
              <w:t>二级指标</w:t>
            </w:r>
          </w:p>
        </w:tc>
        <w:tc>
          <w:tcPr>
            <w:tcW w:w="1815" w:type="dxa"/>
            <w:vAlign w:val="center"/>
          </w:tcPr>
          <w:p>
            <w:pPr>
              <w:widowControl/>
              <w:snapToGrid w:val="0"/>
              <w:spacing w:line="640" w:lineRule="exact"/>
              <w:jc w:val="center"/>
              <w:rPr>
                <w:b/>
                <w:bCs/>
                <w:kern w:val="0"/>
                <w:sz w:val="24"/>
              </w:rPr>
            </w:pPr>
            <w:r>
              <w:rPr>
                <w:b/>
                <w:bCs/>
                <w:kern w:val="0"/>
                <w:sz w:val="24"/>
              </w:rPr>
              <w:t>三级指标</w:t>
            </w:r>
          </w:p>
        </w:tc>
        <w:tc>
          <w:tcPr>
            <w:tcW w:w="865" w:type="dxa"/>
            <w:vAlign w:val="center"/>
          </w:tcPr>
          <w:p>
            <w:pPr>
              <w:widowControl/>
              <w:snapToGrid w:val="0"/>
              <w:spacing w:line="640" w:lineRule="exact"/>
              <w:jc w:val="center"/>
              <w:rPr>
                <w:b/>
                <w:bCs/>
                <w:kern w:val="0"/>
                <w:sz w:val="24"/>
              </w:rPr>
            </w:pPr>
            <w:r>
              <w:rPr>
                <w:b/>
                <w:bCs/>
                <w:kern w:val="0"/>
                <w:sz w:val="24"/>
              </w:rPr>
              <w:t>分值</w:t>
            </w:r>
          </w:p>
        </w:tc>
        <w:tc>
          <w:tcPr>
            <w:tcW w:w="739" w:type="dxa"/>
            <w:vAlign w:val="center"/>
          </w:tcPr>
          <w:p>
            <w:pPr>
              <w:widowControl/>
              <w:snapToGrid w:val="0"/>
              <w:spacing w:line="640" w:lineRule="exact"/>
              <w:jc w:val="center"/>
              <w:rPr>
                <w:b/>
                <w:bCs/>
                <w:kern w:val="0"/>
                <w:sz w:val="24"/>
              </w:rPr>
            </w:pPr>
            <w:r>
              <w:rPr>
                <w:b/>
                <w:bCs/>
                <w:kern w:val="0"/>
                <w:sz w:val="24"/>
              </w:rPr>
              <w:t>得分</w:t>
            </w:r>
          </w:p>
        </w:tc>
        <w:tc>
          <w:tcPr>
            <w:tcW w:w="2411" w:type="dxa"/>
            <w:vAlign w:val="center"/>
          </w:tcPr>
          <w:p>
            <w:pPr>
              <w:widowControl/>
              <w:snapToGrid w:val="0"/>
              <w:spacing w:line="640" w:lineRule="exact"/>
              <w:jc w:val="center"/>
              <w:rPr>
                <w:b/>
                <w:bCs/>
                <w:kern w:val="0"/>
                <w:sz w:val="24"/>
              </w:rPr>
            </w:pPr>
            <w:r>
              <w:rPr>
                <w:rFonts w:hint="eastAsia"/>
                <w:b/>
                <w:bCs/>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27" w:type="dxa"/>
            <w:vMerge w:val="restart"/>
            <w:vAlign w:val="center"/>
          </w:tcPr>
          <w:p>
            <w:pPr>
              <w:widowControl/>
              <w:snapToGrid w:val="0"/>
              <w:spacing w:line="640" w:lineRule="exact"/>
              <w:jc w:val="center"/>
              <w:rPr>
                <w:kern w:val="0"/>
                <w:szCs w:val="21"/>
              </w:rPr>
            </w:pPr>
            <w:r>
              <w:rPr>
                <w:rFonts w:hint="eastAsia"/>
                <w:kern w:val="0"/>
                <w:szCs w:val="21"/>
              </w:rPr>
              <w:t>通用指标（30/30分）</w:t>
            </w:r>
          </w:p>
        </w:tc>
        <w:tc>
          <w:tcPr>
            <w:tcW w:w="1404" w:type="dxa"/>
            <w:vMerge w:val="restart"/>
            <w:vAlign w:val="center"/>
          </w:tcPr>
          <w:p>
            <w:pPr>
              <w:widowControl/>
              <w:snapToGrid w:val="0"/>
              <w:spacing w:line="640" w:lineRule="exact"/>
              <w:jc w:val="center"/>
              <w:rPr>
                <w:b/>
                <w:bCs/>
                <w:kern w:val="0"/>
                <w:szCs w:val="21"/>
              </w:rPr>
            </w:pPr>
            <w:r>
              <w:rPr>
                <w:rFonts w:hint="eastAsia"/>
                <w:kern w:val="0"/>
                <w:szCs w:val="21"/>
              </w:rPr>
              <w:t>项目决策（8/8分）</w:t>
            </w:r>
          </w:p>
        </w:tc>
        <w:tc>
          <w:tcPr>
            <w:tcW w:w="1815" w:type="dxa"/>
            <w:vAlign w:val="center"/>
          </w:tcPr>
          <w:p>
            <w:pPr>
              <w:widowControl/>
              <w:snapToGrid w:val="0"/>
              <w:spacing w:line="640" w:lineRule="exact"/>
              <w:jc w:val="center"/>
              <w:rPr>
                <w:kern w:val="0"/>
                <w:szCs w:val="21"/>
              </w:rPr>
            </w:pPr>
            <w:r>
              <w:rPr>
                <w:rFonts w:hint="eastAsia"/>
                <w:kern w:val="0"/>
                <w:szCs w:val="21"/>
              </w:rPr>
              <w:t>程序严密</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27" w:type="dxa"/>
            <w:vMerge w:val="continue"/>
            <w:vAlign w:val="center"/>
          </w:tcPr>
          <w:p>
            <w:pPr>
              <w:widowControl/>
              <w:snapToGrid w:val="0"/>
              <w:spacing w:line="640" w:lineRule="exact"/>
              <w:jc w:val="left"/>
              <w:rPr>
                <w:kern w:val="0"/>
                <w:szCs w:val="21"/>
              </w:rPr>
            </w:pPr>
          </w:p>
        </w:tc>
        <w:tc>
          <w:tcPr>
            <w:tcW w:w="1404" w:type="dxa"/>
            <w:vMerge w:val="continue"/>
            <w:vAlign w:val="center"/>
          </w:tcPr>
          <w:p>
            <w:pPr>
              <w:widowControl/>
              <w:snapToGrid w:val="0"/>
              <w:spacing w:line="640" w:lineRule="exact"/>
              <w:jc w:val="left"/>
              <w:rPr>
                <w:b/>
                <w:bCs/>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规划合理</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restart"/>
            <w:vAlign w:val="center"/>
          </w:tcPr>
          <w:p>
            <w:pPr>
              <w:snapToGrid w:val="0"/>
              <w:spacing w:line="640" w:lineRule="exact"/>
              <w:jc w:val="center"/>
              <w:rPr>
                <w:kern w:val="0"/>
                <w:szCs w:val="21"/>
              </w:rPr>
            </w:pPr>
            <w:r>
              <w:rPr>
                <w:rFonts w:hint="eastAsia"/>
                <w:kern w:val="0"/>
                <w:szCs w:val="21"/>
              </w:rPr>
              <w:t>项目实施（12/12分）</w:t>
            </w:r>
          </w:p>
        </w:tc>
        <w:tc>
          <w:tcPr>
            <w:tcW w:w="1815" w:type="dxa"/>
            <w:vAlign w:val="center"/>
          </w:tcPr>
          <w:p>
            <w:pPr>
              <w:widowControl/>
              <w:snapToGrid w:val="0"/>
              <w:spacing w:line="640" w:lineRule="exact"/>
              <w:jc w:val="center"/>
              <w:rPr>
                <w:kern w:val="0"/>
                <w:szCs w:val="21"/>
              </w:rPr>
            </w:pPr>
            <w:r>
              <w:rPr>
                <w:rFonts w:hint="eastAsia"/>
                <w:kern w:val="0"/>
                <w:szCs w:val="21"/>
              </w:rPr>
              <w:t>分配合理</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continue"/>
          </w:tcPr>
          <w:p>
            <w:pPr>
              <w:snapToGrid w:val="0"/>
              <w:spacing w:line="640" w:lineRule="exact"/>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使用合规</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27" w:type="dxa"/>
            <w:vMerge w:val="continue"/>
          </w:tcPr>
          <w:p>
            <w:pPr>
              <w:snapToGrid w:val="0"/>
              <w:spacing w:line="640" w:lineRule="exact"/>
              <w:rPr>
                <w:kern w:val="0"/>
                <w:szCs w:val="21"/>
              </w:rPr>
            </w:pPr>
          </w:p>
        </w:tc>
        <w:tc>
          <w:tcPr>
            <w:tcW w:w="1404" w:type="dxa"/>
            <w:vMerge w:val="continue"/>
          </w:tcPr>
          <w:p>
            <w:pPr>
              <w:snapToGrid w:val="0"/>
              <w:spacing w:line="640" w:lineRule="exact"/>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执行有效</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restart"/>
            <w:vAlign w:val="center"/>
          </w:tcPr>
          <w:p>
            <w:pPr>
              <w:snapToGrid w:val="0"/>
              <w:spacing w:line="640" w:lineRule="exact"/>
              <w:jc w:val="center"/>
              <w:rPr>
                <w:kern w:val="0"/>
                <w:szCs w:val="21"/>
              </w:rPr>
            </w:pPr>
            <w:r>
              <w:rPr>
                <w:rFonts w:hint="eastAsia"/>
                <w:kern w:val="0"/>
                <w:szCs w:val="21"/>
              </w:rPr>
              <w:t>完成结果（10/10分）</w:t>
            </w:r>
          </w:p>
        </w:tc>
        <w:tc>
          <w:tcPr>
            <w:tcW w:w="1815" w:type="dxa"/>
            <w:vAlign w:val="center"/>
          </w:tcPr>
          <w:p>
            <w:pPr>
              <w:widowControl/>
              <w:snapToGrid w:val="0"/>
              <w:spacing w:line="640" w:lineRule="exact"/>
              <w:jc w:val="center"/>
              <w:rPr>
                <w:kern w:val="0"/>
                <w:szCs w:val="21"/>
              </w:rPr>
            </w:pPr>
            <w:r>
              <w:rPr>
                <w:rFonts w:hint="eastAsia"/>
                <w:kern w:val="0"/>
                <w:szCs w:val="21"/>
              </w:rPr>
              <w:t>预算完成</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continue"/>
            <w:vAlign w:val="center"/>
          </w:tcPr>
          <w:p>
            <w:pPr>
              <w:snapToGrid w:val="0"/>
              <w:spacing w:line="640" w:lineRule="exact"/>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目标完成</w:t>
            </w:r>
          </w:p>
        </w:tc>
        <w:tc>
          <w:tcPr>
            <w:tcW w:w="865" w:type="dxa"/>
            <w:vAlign w:val="center"/>
          </w:tcPr>
          <w:p>
            <w:pPr>
              <w:widowControl/>
              <w:snapToGrid w:val="0"/>
              <w:spacing w:line="640" w:lineRule="exact"/>
              <w:jc w:val="center"/>
              <w:rPr>
                <w:kern w:val="0"/>
                <w:szCs w:val="21"/>
              </w:rPr>
            </w:pPr>
            <w:r>
              <w:rPr>
                <w:rFonts w:hint="eastAsia"/>
                <w:kern w:val="0"/>
                <w:szCs w:val="21"/>
              </w:rPr>
              <w:t>4</w:t>
            </w:r>
          </w:p>
        </w:tc>
        <w:tc>
          <w:tcPr>
            <w:tcW w:w="739" w:type="dxa"/>
            <w:vAlign w:val="center"/>
          </w:tcPr>
          <w:p>
            <w:pPr>
              <w:widowControl/>
              <w:spacing w:line="640" w:lineRule="exact"/>
              <w:jc w:val="center"/>
              <w:rPr>
                <w:kern w:val="0"/>
                <w:szCs w:val="21"/>
              </w:rPr>
            </w:pPr>
            <w:r>
              <w:rPr>
                <w:rFonts w:hint="eastAsia"/>
                <w:kern w:val="0"/>
                <w:szCs w:val="21"/>
              </w:rPr>
              <w:t>4</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continue"/>
            <w:vAlign w:val="center"/>
          </w:tcPr>
          <w:p>
            <w:pPr>
              <w:snapToGrid w:val="0"/>
              <w:spacing w:line="640" w:lineRule="exact"/>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违规记录</w:t>
            </w:r>
          </w:p>
        </w:tc>
        <w:tc>
          <w:tcPr>
            <w:tcW w:w="865" w:type="dxa"/>
            <w:vAlign w:val="center"/>
          </w:tcPr>
          <w:p>
            <w:pPr>
              <w:widowControl/>
              <w:snapToGrid w:val="0"/>
              <w:spacing w:line="640" w:lineRule="exact"/>
              <w:jc w:val="center"/>
              <w:rPr>
                <w:kern w:val="0"/>
                <w:szCs w:val="21"/>
              </w:rPr>
            </w:pPr>
            <w:r>
              <w:rPr>
                <w:rFonts w:hint="eastAsia"/>
                <w:kern w:val="0"/>
                <w:szCs w:val="21"/>
              </w:rPr>
              <w:t>2</w:t>
            </w:r>
          </w:p>
        </w:tc>
        <w:tc>
          <w:tcPr>
            <w:tcW w:w="739" w:type="dxa"/>
            <w:vAlign w:val="center"/>
          </w:tcPr>
          <w:p>
            <w:pPr>
              <w:widowControl/>
              <w:spacing w:line="640" w:lineRule="exact"/>
              <w:jc w:val="center"/>
              <w:rPr>
                <w:kern w:val="0"/>
                <w:szCs w:val="21"/>
              </w:rPr>
            </w:pPr>
            <w:r>
              <w:rPr>
                <w:kern w:val="0"/>
                <w:szCs w:val="21"/>
              </w:rPr>
              <w:t>2</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snapToGrid w:val="0"/>
              <w:spacing w:line="640" w:lineRule="exact"/>
              <w:jc w:val="center"/>
              <w:rPr>
                <w:kern w:val="0"/>
                <w:szCs w:val="21"/>
              </w:rPr>
            </w:pPr>
            <w:r>
              <w:rPr>
                <w:rFonts w:hint="eastAsia"/>
                <w:kern w:val="0"/>
                <w:szCs w:val="21"/>
              </w:rPr>
              <w:t>共性指标（20/20分）</w:t>
            </w:r>
          </w:p>
        </w:tc>
        <w:tc>
          <w:tcPr>
            <w:tcW w:w="1404" w:type="dxa"/>
            <w:vMerge w:val="restart"/>
            <w:vAlign w:val="center"/>
          </w:tcPr>
          <w:p>
            <w:pPr>
              <w:snapToGrid w:val="0"/>
              <w:spacing w:line="640" w:lineRule="exact"/>
              <w:jc w:val="center"/>
              <w:rPr>
                <w:kern w:val="0"/>
                <w:szCs w:val="21"/>
              </w:rPr>
            </w:pPr>
            <w:r>
              <w:rPr>
                <w:rFonts w:hint="eastAsia"/>
                <w:kern w:val="0"/>
                <w:szCs w:val="21"/>
              </w:rPr>
              <w:t>项目效果</w:t>
            </w:r>
          </w:p>
        </w:tc>
        <w:tc>
          <w:tcPr>
            <w:tcW w:w="1815" w:type="dxa"/>
            <w:vAlign w:val="center"/>
          </w:tcPr>
          <w:p>
            <w:pPr>
              <w:widowControl/>
              <w:snapToGrid w:val="0"/>
              <w:spacing w:line="640" w:lineRule="exact"/>
              <w:jc w:val="center"/>
              <w:rPr>
                <w:kern w:val="0"/>
                <w:szCs w:val="21"/>
              </w:rPr>
            </w:pPr>
            <w:r>
              <w:rPr>
                <w:rFonts w:hint="eastAsia"/>
                <w:kern w:val="0"/>
                <w:szCs w:val="21"/>
              </w:rPr>
              <w:t>符合性</w:t>
            </w:r>
          </w:p>
        </w:tc>
        <w:tc>
          <w:tcPr>
            <w:tcW w:w="865" w:type="dxa"/>
            <w:vAlign w:val="center"/>
          </w:tcPr>
          <w:p>
            <w:pPr>
              <w:widowControl/>
              <w:snapToGrid w:val="0"/>
              <w:spacing w:line="640" w:lineRule="exact"/>
              <w:jc w:val="center"/>
              <w:rPr>
                <w:kern w:val="0"/>
                <w:szCs w:val="21"/>
              </w:rPr>
            </w:pPr>
            <w:r>
              <w:rPr>
                <w:kern w:val="0"/>
                <w:szCs w:val="21"/>
              </w:rPr>
              <w:t>1</w:t>
            </w:r>
            <w:r>
              <w:rPr>
                <w:rFonts w:hint="eastAsia"/>
                <w:kern w:val="0"/>
                <w:szCs w:val="21"/>
              </w:rPr>
              <w:t>0</w:t>
            </w:r>
          </w:p>
        </w:tc>
        <w:tc>
          <w:tcPr>
            <w:tcW w:w="739" w:type="dxa"/>
            <w:vAlign w:val="center"/>
          </w:tcPr>
          <w:p>
            <w:pPr>
              <w:widowControl/>
              <w:spacing w:line="640" w:lineRule="exact"/>
              <w:jc w:val="center"/>
              <w:rPr>
                <w:kern w:val="0"/>
                <w:szCs w:val="21"/>
              </w:rPr>
            </w:pPr>
            <w:r>
              <w:rPr>
                <w:kern w:val="0"/>
                <w:szCs w:val="21"/>
              </w:rPr>
              <w:t>1</w:t>
            </w:r>
            <w:r>
              <w:rPr>
                <w:rFonts w:hint="eastAsia"/>
                <w:kern w:val="0"/>
                <w:szCs w:val="21"/>
              </w:rPr>
              <w:t>0</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continue"/>
          </w:tcPr>
          <w:p>
            <w:pPr>
              <w:snapToGrid w:val="0"/>
              <w:spacing w:line="640" w:lineRule="exact"/>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成长性</w:t>
            </w:r>
          </w:p>
        </w:tc>
        <w:tc>
          <w:tcPr>
            <w:tcW w:w="865" w:type="dxa"/>
            <w:vAlign w:val="center"/>
          </w:tcPr>
          <w:p>
            <w:pPr>
              <w:widowControl/>
              <w:snapToGrid w:val="0"/>
              <w:spacing w:line="640" w:lineRule="exact"/>
              <w:jc w:val="center"/>
              <w:rPr>
                <w:kern w:val="0"/>
                <w:szCs w:val="21"/>
              </w:rPr>
            </w:pPr>
            <w:r>
              <w:rPr>
                <w:rFonts w:hint="eastAsia"/>
                <w:kern w:val="0"/>
                <w:szCs w:val="21"/>
              </w:rPr>
              <w:t>10</w:t>
            </w:r>
          </w:p>
        </w:tc>
        <w:tc>
          <w:tcPr>
            <w:tcW w:w="739" w:type="dxa"/>
            <w:vAlign w:val="center"/>
          </w:tcPr>
          <w:p>
            <w:pPr>
              <w:widowControl/>
              <w:spacing w:line="640" w:lineRule="exact"/>
              <w:jc w:val="center"/>
              <w:rPr>
                <w:kern w:val="0"/>
                <w:szCs w:val="21"/>
              </w:rPr>
            </w:pPr>
            <w:r>
              <w:rPr>
                <w:rFonts w:hint="eastAsia"/>
                <w:kern w:val="0"/>
                <w:szCs w:val="21"/>
              </w:rPr>
              <w:t>10</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restart"/>
            <w:vAlign w:val="center"/>
          </w:tcPr>
          <w:p>
            <w:pPr>
              <w:snapToGrid w:val="0"/>
              <w:spacing w:line="640" w:lineRule="exact"/>
              <w:jc w:val="center"/>
              <w:rPr>
                <w:kern w:val="0"/>
                <w:szCs w:val="21"/>
              </w:rPr>
            </w:pPr>
            <w:r>
              <w:rPr>
                <w:rFonts w:hint="eastAsia"/>
                <w:kern w:val="0"/>
                <w:szCs w:val="21"/>
              </w:rPr>
              <w:t>特性指标（50/50分）</w:t>
            </w:r>
          </w:p>
        </w:tc>
        <w:tc>
          <w:tcPr>
            <w:tcW w:w="1404" w:type="dxa"/>
            <w:vMerge w:val="restart"/>
            <w:vAlign w:val="center"/>
          </w:tcPr>
          <w:p>
            <w:pPr>
              <w:snapToGrid w:val="0"/>
              <w:spacing w:line="640" w:lineRule="exact"/>
              <w:jc w:val="center"/>
              <w:rPr>
                <w:kern w:val="0"/>
                <w:szCs w:val="21"/>
              </w:rPr>
            </w:pPr>
            <w:r>
              <w:rPr>
                <w:kern w:val="0"/>
                <w:szCs w:val="21"/>
              </w:rPr>
              <w:t>经济效益</w:t>
            </w:r>
            <w:r>
              <w:rPr>
                <w:rFonts w:hint="eastAsia"/>
                <w:kern w:val="0"/>
                <w:szCs w:val="21"/>
              </w:rPr>
              <w:t>（20/20分）</w:t>
            </w:r>
          </w:p>
        </w:tc>
        <w:tc>
          <w:tcPr>
            <w:tcW w:w="1815" w:type="dxa"/>
            <w:vAlign w:val="center"/>
          </w:tcPr>
          <w:p>
            <w:pPr>
              <w:widowControl/>
              <w:snapToGrid w:val="0"/>
              <w:spacing w:line="640" w:lineRule="exact"/>
              <w:jc w:val="center"/>
              <w:rPr>
                <w:kern w:val="0"/>
                <w:szCs w:val="21"/>
              </w:rPr>
            </w:pPr>
            <w:r>
              <w:rPr>
                <w:kern w:val="0"/>
                <w:szCs w:val="21"/>
              </w:rPr>
              <w:t>利税增长率</w:t>
            </w:r>
          </w:p>
        </w:tc>
        <w:tc>
          <w:tcPr>
            <w:tcW w:w="865" w:type="dxa"/>
            <w:vAlign w:val="center"/>
          </w:tcPr>
          <w:p>
            <w:pPr>
              <w:widowControl/>
              <w:snapToGrid w:val="0"/>
              <w:spacing w:line="640" w:lineRule="exact"/>
              <w:jc w:val="center"/>
              <w:rPr>
                <w:kern w:val="0"/>
                <w:szCs w:val="21"/>
              </w:rPr>
            </w:pPr>
            <w:r>
              <w:rPr>
                <w:kern w:val="0"/>
                <w:szCs w:val="21"/>
              </w:rPr>
              <w:t>10</w:t>
            </w:r>
          </w:p>
        </w:tc>
        <w:tc>
          <w:tcPr>
            <w:tcW w:w="739" w:type="dxa"/>
            <w:vAlign w:val="center"/>
          </w:tcPr>
          <w:p>
            <w:pPr>
              <w:widowControl/>
              <w:spacing w:line="640" w:lineRule="exact"/>
              <w:jc w:val="center"/>
              <w:rPr>
                <w:kern w:val="0"/>
                <w:szCs w:val="21"/>
              </w:rPr>
            </w:pPr>
            <w:r>
              <w:rPr>
                <w:kern w:val="0"/>
                <w:szCs w:val="21"/>
              </w:rPr>
              <w:t>9.</w:t>
            </w:r>
            <w:r>
              <w:rPr>
                <w:rFonts w:hint="eastAsia"/>
                <w:kern w:val="0"/>
                <w:szCs w:val="21"/>
              </w:rPr>
              <w:t>6</w:t>
            </w:r>
          </w:p>
        </w:tc>
        <w:tc>
          <w:tcPr>
            <w:tcW w:w="2411" w:type="dxa"/>
            <w:vAlign w:val="center"/>
          </w:tcPr>
          <w:p>
            <w:pPr>
              <w:widowControl/>
              <w:spacing w:line="640" w:lineRule="exact"/>
              <w:jc w:val="center"/>
              <w:rPr>
                <w:kern w:val="0"/>
                <w:szCs w:val="21"/>
              </w:rPr>
            </w:pPr>
            <w:r>
              <w:rPr>
                <w:rFonts w:hint="eastAsia"/>
                <w:kern w:val="0"/>
                <w:szCs w:val="21"/>
              </w:rPr>
              <w:t>储备能力需进一步增强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continue"/>
          </w:tcPr>
          <w:p>
            <w:pPr>
              <w:snapToGrid w:val="0"/>
              <w:spacing w:line="640" w:lineRule="exact"/>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投资回报率</w:t>
            </w:r>
          </w:p>
        </w:tc>
        <w:tc>
          <w:tcPr>
            <w:tcW w:w="865" w:type="dxa"/>
            <w:vAlign w:val="center"/>
          </w:tcPr>
          <w:p>
            <w:pPr>
              <w:widowControl/>
              <w:snapToGrid w:val="0"/>
              <w:spacing w:line="640" w:lineRule="exact"/>
              <w:jc w:val="center"/>
              <w:rPr>
                <w:kern w:val="0"/>
                <w:szCs w:val="21"/>
              </w:rPr>
            </w:pPr>
            <w:r>
              <w:rPr>
                <w:kern w:val="0"/>
                <w:szCs w:val="21"/>
              </w:rPr>
              <w:t>10</w:t>
            </w:r>
          </w:p>
        </w:tc>
        <w:tc>
          <w:tcPr>
            <w:tcW w:w="739" w:type="dxa"/>
            <w:vAlign w:val="center"/>
          </w:tcPr>
          <w:p>
            <w:pPr>
              <w:widowControl/>
              <w:spacing w:line="640" w:lineRule="exact"/>
              <w:jc w:val="center"/>
              <w:rPr>
                <w:kern w:val="0"/>
                <w:szCs w:val="21"/>
              </w:rPr>
            </w:pPr>
            <w:r>
              <w:rPr>
                <w:kern w:val="0"/>
                <w:szCs w:val="21"/>
              </w:rPr>
              <w:t>9</w:t>
            </w:r>
            <w:r>
              <w:rPr>
                <w:rFonts w:hint="eastAsia"/>
                <w:kern w:val="0"/>
                <w:szCs w:val="21"/>
              </w:rPr>
              <w:t>.5</w:t>
            </w:r>
          </w:p>
        </w:tc>
        <w:tc>
          <w:tcPr>
            <w:tcW w:w="2411" w:type="dxa"/>
            <w:vAlign w:val="center"/>
          </w:tcPr>
          <w:p>
            <w:pPr>
              <w:widowControl/>
              <w:spacing w:line="640" w:lineRule="exact"/>
              <w:jc w:val="center"/>
              <w:rPr>
                <w:kern w:val="0"/>
                <w:szCs w:val="21"/>
              </w:rPr>
            </w:pPr>
            <w:r>
              <w:rPr>
                <w:rFonts w:hint="eastAsia"/>
                <w:kern w:val="0"/>
                <w:szCs w:val="21"/>
              </w:rPr>
              <w:t>投资成本增加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restart"/>
            <w:vAlign w:val="center"/>
          </w:tcPr>
          <w:p>
            <w:pPr>
              <w:snapToGrid w:val="0"/>
              <w:spacing w:line="640" w:lineRule="exact"/>
              <w:jc w:val="center"/>
              <w:rPr>
                <w:kern w:val="0"/>
                <w:szCs w:val="21"/>
              </w:rPr>
            </w:pPr>
            <w:r>
              <w:rPr>
                <w:kern w:val="0"/>
                <w:szCs w:val="21"/>
              </w:rPr>
              <w:t>社会效益</w:t>
            </w:r>
            <w:r>
              <w:rPr>
                <w:rFonts w:hint="eastAsia"/>
                <w:kern w:val="0"/>
                <w:szCs w:val="21"/>
              </w:rPr>
              <w:t>（30/30分）</w:t>
            </w:r>
          </w:p>
        </w:tc>
        <w:tc>
          <w:tcPr>
            <w:tcW w:w="1815" w:type="dxa"/>
            <w:vAlign w:val="center"/>
          </w:tcPr>
          <w:p>
            <w:pPr>
              <w:widowControl/>
              <w:snapToGrid w:val="0"/>
              <w:spacing w:line="640" w:lineRule="exact"/>
              <w:jc w:val="center"/>
              <w:rPr>
                <w:kern w:val="0"/>
                <w:szCs w:val="21"/>
              </w:rPr>
            </w:pPr>
            <w:r>
              <w:rPr>
                <w:rFonts w:hint="eastAsia"/>
                <w:kern w:val="0"/>
                <w:szCs w:val="21"/>
              </w:rPr>
              <w:t>就业贡献率</w:t>
            </w:r>
          </w:p>
        </w:tc>
        <w:tc>
          <w:tcPr>
            <w:tcW w:w="865" w:type="dxa"/>
            <w:vAlign w:val="center"/>
          </w:tcPr>
          <w:p>
            <w:pPr>
              <w:widowControl/>
              <w:snapToGrid w:val="0"/>
              <w:spacing w:line="640" w:lineRule="exact"/>
              <w:jc w:val="center"/>
              <w:rPr>
                <w:kern w:val="0"/>
                <w:szCs w:val="21"/>
              </w:rPr>
            </w:pPr>
            <w:r>
              <w:rPr>
                <w:rFonts w:hint="eastAsia"/>
                <w:kern w:val="0"/>
                <w:szCs w:val="21"/>
              </w:rPr>
              <w:t>10</w:t>
            </w:r>
          </w:p>
        </w:tc>
        <w:tc>
          <w:tcPr>
            <w:tcW w:w="739" w:type="dxa"/>
            <w:vAlign w:val="center"/>
          </w:tcPr>
          <w:p>
            <w:pPr>
              <w:widowControl/>
              <w:spacing w:line="640" w:lineRule="exact"/>
              <w:jc w:val="center"/>
              <w:rPr>
                <w:kern w:val="0"/>
                <w:szCs w:val="21"/>
              </w:rPr>
            </w:pPr>
            <w:r>
              <w:rPr>
                <w:rFonts w:hint="eastAsia"/>
                <w:kern w:val="0"/>
                <w:szCs w:val="21"/>
              </w:rPr>
              <w:t>10</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Merge w:val="continue"/>
          </w:tcPr>
          <w:p>
            <w:pPr>
              <w:snapToGrid w:val="0"/>
              <w:spacing w:line="640" w:lineRule="exact"/>
              <w:rPr>
                <w:kern w:val="0"/>
                <w:szCs w:val="21"/>
              </w:rPr>
            </w:pPr>
          </w:p>
        </w:tc>
        <w:tc>
          <w:tcPr>
            <w:tcW w:w="1404" w:type="dxa"/>
            <w:vMerge w:val="continue"/>
            <w:vAlign w:val="center"/>
          </w:tcPr>
          <w:p>
            <w:pPr>
              <w:snapToGrid w:val="0"/>
              <w:spacing w:line="640" w:lineRule="exact"/>
              <w:jc w:val="center"/>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社会贡献率</w:t>
            </w:r>
          </w:p>
        </w:tc>
        <w:tc>
          <w:tcPr>
            <w:tcW w:w="865" w:type="dxa"/>
            <w:vAlign w:val="center"/>
          </w:tcPr>
          <w:p>
            <w:pPr>
              <w:widowControl/>
              <w:snapToGrid w:val="0"/>
              <w:spacing w:line="640" w:lineRule="exact"/>
              <w:jc w:val="center"/>
              <w:rPr>
                <w:kern w:val="0"/>
                <w:szCs w:val="21"/>
              </w:rPr>
            </w:pPr>
            <w:r>
              <w:rPr>
                <w:rFonts w:hint="eastAsia"/>
                <w:kern w:val="0"/>
                <w:szCs w:val="21"/>
              </w:rPr>
              <w:t>10</w:t>
            </w:r>
          </w:p>
        </w:tc>
        <w:tc>
          <w:tcPr>
            <w:tcW w:w="739" w:type="dxa"/>
            <w:vAlign w:val="center"/>
          </w:tcPr>
          <w:p>
            <w:pPr>
              <w:widowControl/>
              <w:spacing w:line="640" w:lineRule="exact"/>
              <w:jc w:val="center"/>
              <w:rPr>
                <w:kern w:val="0"/>
                <w:szCs w:val="21"/>
              </w:rPr>
            </w:pPr>
            <w:r>
              <w:rPr>
                <w:rFonts w:hint="eastAsia"/>
                <w:kern w:val="0"/>
                <w:szCs w:val="21"/>
              </w:rPr>
              <w:t>10</w:t>
            </w:r>
          </w:p>
        </w:tc>
        <w:tc>
          <w:tcPr>
            <w:tcW w:w="2411" w:type="dxa"/>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7" w:type="dxa"/>
            <w:vMerge w:val="continue"/>
          </w:tcPr>
          <w:p>
            <w:pPr>
              <w:snapToGrid w:val="0"/>
              <w:spacing w:line="640" w:lineRule="exact"/>
              <w:rPr>
                <w:kern w:val="0"/>
                <w:szCs w:val="21"/>
              </w:rPr>
            </w:pPr>
          </w:p>
        </w:tc>
        <w:tc>
          <w:tcPr>
            <w:tcW w:w="1404" w:type="dxa"/>
            <w:vMerge w:val="continue"/>
            <w:vAlign w:val="center"/>
          </w:tcPr>
          <w:p>
            <w:pPr>
              <w:snapToGrid w:val="0"/>
              <w:spacing w:line="640" w:lineRule="exact"/>
              <w:jc w:val="center"/>
              <w:rPr>
                <w:kern w:val="0"/>
                <w:szCs w:val="21"/>
              </w:rPr>
            </w:pPr>
          </w:p>
        </w:tc>
        <w:tc>
          <w:tcPr>
            <w:tcW w:w="1815" w:type="dxa"/>
            <w:vAlign w:val="center"/>
          </w:tcPr>
          <w:p>
            <w:pPr>
              <w:widowControl/>
              <w:snapToGrid w:val="0"/>
              <w:spacing w:line="640" w:lineRule="exact"/>
              <w:jc w:val="center"/>
              <w:rPr>
                <w:kern w:val="0"/>
                <w:szCs w:val="21"/>
              </w:rPr>
            </w:pPr>
            <w:r>
              <w:rPr>
                <w:rFonts w:hint="eastAsia"/>
                <w:kern w:val="0"/>
                <w:szCs w:val="21"/>
              </w:rPr>
              <w:t>对省内纺织工业发展的促进作用</w:t>
            </w:r>
          </w:p>
        </w:tc>
        <w:tc>
          <w:tcPr>
            <w:tcW w:w="865" w:type="dxa"/>
            <w:vAlign w:val="center"/>
          </w:tcPr>
          <w:p>
            <w:pPr>
              <w:widowControl/>
              <w:snapToGrid w:val="0"/>
              <w:spacing w:line="640" w:lineRule="exact"/>
              <w:jc w:val="center"/>
              <w:rPr>
                <w:kern w:val="0"/>
                <w:szCs w:val="21"/>
              </w:rPr>
            </w:pPr>
            <w:r>
              <w:rPr>
                <w:kern w:val="0"/>
                <w:szCs w:val="21"/>
              </w:rPr>
              <w:t>10</w:t>
            </w:r>
          </w:p>
        </w:tc>
        <w:tc>
          <w:tcPr>
            <w:tcW w:w="739" w:type="dxa"/>
            <w:vAlign w:val="center"/>
          </w:tcPr>
          <w:p>
            <w:pPr>
              <w:widowControl/>
              <w:spacing w:line="640" w:lineRule="exact"/>
              <w:jc w:val="center"/>
              <w:rPr>
                <w:kern w:val="0"/>
                <w:szCs w:val="21"/>
              </w:rPr>
            </w:pPr>
            <w:r>
              <w:rPr>
                <w:rFonts w:hint="eastAsia"/>
                <w:kern w:val="0"/>
                <w:szCs w:val="21"/>
              </w:rPr>
              <w:t>9.9</w:t>
            </w:r>
          </w:p>
        </w:tc>
        <w:tc>
          <w:tcPr>
            <w:tcW w:w="2411" w:type="dxa"/>
            <w:vAlign w:val="center"/>
          </w:tcPr>
          <w:p>
            <w:pPr>
              <w:widowControl/>
              <w:spacing w:line="640" w:lineRule="exact"/>
              <w:jc w:val="center"/>
              <w:rPr>
                <w:kern w:val="0"/>
                <w:szCs w:val="21"/>
              </w:rPr>
            </w:pPr>
            <w:r>
              <w:rPr>
                <w:rFonts w:hint="eastAsia"/>
                <w:kern w:val="0"/>
                <w:szCs w:val="21"/>
              </w:rPr>
              <w:t>公司资源规模控制较弱，还需进一步增强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546" w:type="dxa"/>
            <w:gridSpan w:val="3"/>
            <w:vAlign w:val="center"/>
          </w:tcPr>
          <w:p>
            <w:pPr>
              <w:widowControl/>
              <w:snapToGrid w:val="0"/>
              <w:spacing w:line="640" w:lineRule="exact"/>
              <w:jc w:val="center"/>
              <w:rPr>
                <w:b/>
                <w:kern w:val="0"/>
                <w:szCs w:val="21"/>
              </w:rPr>
            </w:pPr>
            <w:r>
              <w:rPr>
                <w:b/>
                <w:kern w:val="0"/>
                <w:szCs w:val="21"/>
              </w:rPr>
              <w:t>总分</w:t>
            </w:r>
          </w:p>
        </w:tc>
        <w:tc>
          <w:tcPr>
            <w:tcW w:w="865" w:type="dxa"/>
            <w:vAlign w:val="center"/>
          </w:tcPr>
          <w:p>
            <w:pPr>
              <w:widowControl/>
              <w:spacing w:line="640" w:lineRule="exact"/>
              <w:jc w:val="center"/>
              <w:rPr>
                <w:b/>
                <w:kern w:val="0"/>
                <w:szCs w:val="21"/>
              </w:rPr>
            </w:pPr>
            <w:r>
              <w:rPr>
                <w:b/>
                <w:kern w:val="0"/>
                <w:szCs w:val="21"/>
              </w:rPr>
              <w:t>100</w:t>
            </w:r>
          </w:p>
        </w:tc>
        <w:tc>
          <w:tcPr>
            <w:tcW w:w="739" w:type="dxa"/>
            <w:vAlign w:val="center"/>
          </w:tcPr>
          <w:p>
            <w:pPr>
              <w:widowControl/>
              <w:spacing w:line="640" w:lineRule="exact"/>
              <w:jc w:val="center"/>
              <w:rPr>
                <w:b/>
                <w:kern w:val="0"/>
                <w:szCs w:val="21"/>
              </w:rPr>
            </w:pPr>
            <w:r>
              <w:rPr>
                <w:b/>
                <w:kern w:val="0"/>
                <w:szCs w:val="21"/>
              </w:rPr>
              <w:t>9</w:t>
            </w:r>
            <w:r>
              <w:rPr>
                <w:rFonts w:hint="eastAsia"/>
                <w:b/>
                <w:kern w:val="0"/>
                <w:szCs w:val="21"/>
              </w:rPr>
              <w:t>9.</w:t>
            </w:r>
            <w:r>
              <w:rPr>
                <w:b/>
                <w:kern w:val="0"/>
                <w:szCs w:val="21"/>
              </w:rPr>
              <w:t>0</w:t>
            </w:r>
            <w:r>
              <w:rPr>
                <w:b/>
                <w:kern w:val="0"/>
                <w:szCs w:val="21"/>
              </w:rPr>
              <w:fldChar w:fldCharType="begin"/>
            </w:r>
            <w:r>
              <w:rPr>
                <w:b/>
                <w:kern w:val="0"/>
                <w:szCs w:val="21"/>
              </w:rPr>
              <w:instrText xml:space="preserve"> =SUM(ABOVE) </w:instrText>
            </w:r>
            <w:r>
              <w:rPr>
                <w:b/>
                <w:kern w:val="0"/>
                <w:szCs w:val="21"/>
              </w:rPr>
              <w:fldChar w:fldCharType="end"/>
            </w:r>
          </w:p>
        </w:tc>
        <w:tc>
          <w:tcPr>
            <w:tcW w:w="2411" w:type="dxa"/>
            <w:vAlign w:val="center"/>
          </w:tcPr>
          <w:p>
            <w:pPr>
              <w:widowControl/>
              <w:spacing w:line="640" w:lineRule="exact"/>
              <w:jc w:val="center"/>
              <w:rPr>
                <w:b/>
                <w:kern w:val="0"/>
                <w:szCs w:val="21"/>
              </w:rPr>
            </w:pPr>
          </w:p>
        </w:tc>
      </w:tr>
    </w:tbl>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四、绩效评价分析</w:t>
      </w:r>
    </w:p>
    <w:p>
      <w:pPr>
        <w:adjustRightInd w:val="0"/>
        <w:snapToGrid w:val="0"/>
        <w:spacing w:line="560" w:lineRule="exact"/>
        <w:ind w:firstLine="643" w:firstLineChars="200"/>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（一）决策依据情况</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1.《国务院关于深化棉花流通体制改革的决定》（国发〔1998〕42号）“国务院继续委托供销合作总社承担国家储备棉管理任务，负责具体组织储备棉的购进、抛售、调运、轮换”；</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2.《国务院关于加快供销合作社改革发展的若干意见》（国发〔2009〕40号）“支持供销合作社在棉花主产区和主销区建设仓储物流设施，符合条件的企业可以接受政府委托，承担国家棉花储备、进出口等任务”；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3.《四川省人民政府关于加快供销合作社改革发展的实施意见》（川府发〔2010〕20号）“支持供销合作社建设棉花仓储物流设施，承担国家和省级棉花储备、进出口等任务”；</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4.国家发展改革委等部委联合印发的《关于发挥骨干企业积极作用健全和完善政府对大宗农产品市场调控体系和机制的通知》（发改经贸〔2010〕1610号）“从确定的骨干企业中优选部分企业……专项承担粮食、食用植物油、棉花、食糖和猪肉的收购、加工、储运、进口、销售和应急供应等特定调控任务”；</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5.《四川省健全和完善政府对大宗农产品市场调控体系和机制工作方案》；</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6.《中共中央国务院关于深化供销合作社综合改革的决定》(中发〔2015〕11号）“支持社有企业承担化肥、农药等国家储备任务”；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7.《中共四川省委、四川省人民政府关于深化供销合作社综合改革的意见》（川委发〔2016〕22号）“支持社有企业承担化肥、农药、棉花等国家和地方储备任务”；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8.四川省棉麻集团有限公司已纳入省商务厅“应急保供重点联系企业”；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9.四川省供销合作社联合社《关于确定2018—2020年省级棉花储备承储企业的通知》文件精神，四川省棉麻集团有限公司被确定为省级棉花储备承储企业。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该项目政策依据充分，决策程序明确。</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方正楷体_GBK" w:hAnsi="方正楷体_GBK" w:eastAsia="方正楷体_GBK" w:cs="方正楷体_GBK"/>
          <w:b/>
          <w:sz w:val="32"/>
          <w:szCs w:val="32"/>
        </w:rPr>
        <w:t>（二）项目管理情况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1.项目资金及财务管理情况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根据现场评价情况，四川省棉麻集团有限公司按照国家相关规定进行会计核算和资金管理。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2.项目组织实施情况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加强项目管理，四川省棉麻集团有限公司制定了《省级滚动储备棉管理办法》，成立了以董事长为组长的领导管理小组，成员包括棉花资源基地、储备中心、棉花调销部门等，办法对存储、轮入轮出、质量、安全、应急供应等方方面面进行了规定；为了解项目实施建设和投入情况，四川省棉麻集团有限公司财务统计部、监事审计部、综合管理部、物业安全部等部门多次开展联合检查。</w:t>
      </w:r>
    </w:p>
    <w:p>
      <w:pPr>
        <w:adjustRightInd w:val="0"/>
        <w:snapToGrid w:val="0"/>
        <w:spacing w:line="560" w:lineRule="exact"/>
        <w:ind w:firstLine="643" w:firstLineChars="200"/>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（三）项目产出情况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四川省棉麻集团有限公司2020年7月1日—2021年6月30日棉花年经营量96040吨，平均库存为6583吨，占用资金利息409.57万元，保质保量地完成相应的储备任务，并按时按需地实施了轮出、轮入。</w:t>
      </w:r>
    </w:p>
    <w:p>
      <w:pPr>
        <w:spacing w:line="640" w:lineRule="exact"/>
        <w:jc w:val="center"/>
        <w:rPr>
          <w:rFonts w:ascii="方正小标宋_GBK" w:hAnsi="方正小标宋_GBK" w:eastAsia="方正小标宋_GBK" w:cs="方正小标宋_GBK"/>
          <w:bCs/>
          <w:sz w:val="30"/>
          <w:szCs w:val="30"/>
        </w:rPr>
      </w:pPr>
      <w:r>
        <w:rPr>
          <w:rFonts w:hint="eastAsia" w:ascii="方正小标宋_GBK" w:hAnsi="方正小标宋_GBK" w:eastAsia="方正小标宋_GBK" w:cs="方正小标宋_GBK"/>
          <w:bCs/>
          <w:sz w:val="30"/>
          <w:szCs w:val="30"/>
        </w:rPr>
        <w:t>省级棉花储备情况表</w:t>
      </w:r>
    </w:p>
    <w:tbl>
      <w:tblPr>
        <w:tblStyle w:val="1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99"/>
        <w:gridCol w:w="438"/>
        <w:gridCol w:w="1470"/>
        <w:gridCol w:w="2280"/>
        <w:gridCol w:w="1932"/>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72" w:type="dxa"/>
            <w:vAlign w:val="center"/>
          </w:tcPr>
          <w:p>
            <w:pPr>
              <w:spacing w:line="240" w:lineRule="atLeast"/>
              <w:jc w:val="center"/>
              <w:rPr>
                <w:rFonts w:ascii="仿宋" w:hAnsi="仿宋" w:eastAsia="仿宋"/>
                <w:b/>
                <w:kern w:val="0"/>
                <w:sz w:val="28"/>
              </w:rPr>
            </w:pPr>
            <w:r>
              <w:rPr>
                <w:rFonts w:hint="eastAsia" w:ascii="仿宋" w:hAnsi="仿宋" w:eastAsia="仿宋"/>
                <w:b/>
                <w:kern w:val="0"/>
                <w:sz w:val="28"/>
              </w:rPr>
              <w:t>年</w:t>
            </w:r>
          </w:p>
        </w:tc>
        <w:tc>
          <w:tcPr>
            <w:tcW w:w="799" w:type="dxa"/>
            <w:vAlign w:val="center"/>
          </w:tcPr>
          <w:p>
            <w:pPr>
              <w:spacing w:line="240" w:lineRule="atLeast"/>
              <w:jc w:val="center"/>
              <w:rPr>
                <w:rFonts w:ascii="仿宋" w:hAnsi="仿宋" w:eastAsia="仿宋"/>
                <w:b/>
                <w:kern w:val="0"/>
                <w:sz w:val="28"/>
              </w:rPr>
            </w:pPr>
            <w:r>
              <w:rPr>
                <w:rFonts w:hint="eastAsia" w:ascii="仿宋" w:hAnsi="仿宋" w:eastAsia="仿宋"/>
                <w:b/>
                <w:kern w:val="0"/>
                <w:sz w:val="28"/>
              </w:rPr>
              <w:t>月</w:t>
            </w:r>
          </w:p>
        </w:tc>
        <w:tc>
          <w:tcPr>
            <w:tcW w:w="1908" w:type="dxa"/>
            <w:gridSpan w:val="2"/>
            <w:vAlign w:val="center"/>
          </w:tcPr>
          <w:p>
            <w:pPr>
              <w:spacing w:line="240" w:lineRule="atLeast"/>
              <w:jc w:val="center"/>
              <w:rPr>
                <w:rFonts w:ascii="仿宋" w:hAnsi="仿宋" w:eastAsia="仿宋"/>
                <w:b/>
                <w:kern w:val="0"/>
                <w:sz w:val="24"/>
              </w:rPr>
            </w:pPr>
            <w:r>
              <w:rPr>
                <w:rFonts w:hint="eastAsia" w:ascii="仿宋" w:hAnsi="仿宋" w:eastAsia="仿宋"/>
                <w:b/>
                <w:kern w:val="0"/>
                <w:sz w:val="24"/>
              </w:rPr>
              <w:t>账面库存（吨）</w:t>
            </w:r>
          </w:p>
        </w:tc>
        <w:tc>
          <w:tcPr>
            <w:tcW w:w="2280" w:type="dxa"/>
            <w:vAlign w:val="center"/>
          </w:tcPr>
          <w:p>
            <w:pPr>
              <w:spacing w:line="240" w:lineRule="atLeast"/>
              <w:jc w:val="center"/>
              <w:rPr>
                <w:rFonts w:ascii="仿宋" w:hAnsi="仿宋" w:eastAsia="仿宋"/>
                <w:b/>
                <w:kern w:val="0"/>
                <w:sz w:val="24"/>
              </w:rPr>
            </w:pPr>
            <w:r>
              <w:rPr>
                <w:rFonts w:hint="eastAsia" w:ascii="仿宋" w:hAnsi="仿宋" w:eastAsia="仿宋"/>
                <w:b/>
                <w:kern w:val="0"/>
                <w:sz w:val="24"/>
              </w:rPr>
              <w:t>占用资金（万元）</w:t>
            </w:r>
          </w:p>
        </w:tc>
        <w:tc>
          <w:tcPr>
            <w:tcW w:w="1932" w:type="dxa"/>
            <w:vAlign w:val="center"/>
          </w:tcPr>
          <w:p>
            <w:pPr>
              <w:spacing w:line="240" w:lineRule="atLeast"/>
              <w:jc w:val="center"/>
              <w:rPr>
                <w:rFonts w:ascii="仿宋" w:hAnsi="仿宋" w:eastAsia="仿宋"/>
                <w:b/>
                <w:kern w:val="0"/>
                <w:sz w:val="24"/>
              </w:rPr>
            </w:pPr>
            <w:r>
              <w:rPr>
                <w:rFonts w:hint="eastAsia" w:ascii="仿宋" w:hAnsi="仿宋" w:eastAsia="仿宋"/>
                <w:b/>
                <w:kern w:val="0"/>
                <w:sz w:val="24"/>
              </w:rPr>
              <w:t>资金利息（元）</w:t>
            </w:r>
          </w:p>
        </w:tc>
        <w:tc>
          <w:tcPr>
            <w:tcW w:w="1859" w:type="dxa"/>
            <w:vAlign w:val="center"/>
          </w:tcPr>
          <w:p>
            <w:pPr>
              <w:spacing w:line="240" w:lineRule="atLeast"/>
              <w:jc w:val="center"/>
              <w:rPr>
                <w:rFonts w:ascii="仿宋" w:hAnsi="仿宋" w:eastAsia="仿宋"/>
                <w:b/>
                <w:kern w:val="0"/>
                <w:sz w:val="24"/>
              </w:rPr>
            </w:pPr>
            <w:r>
              <w:rPr>
                <w:rFonts w:hint="eastAsia" w:ascii="仿宋" w:hAnsi="仿宋" w:eastAsia="仿宋"/>
                <w:b/>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restart"/>
            <w:vAlign w:val="center"/>
          </w:tcPr>
          <w:p>
            <w:pPr>
              <w:spacing w:line="640" w:lineRule="exact"/>
              <w:jc w:val="center"/>
              <w:rPr>
                <w:rFonts w:ascii="仿宋" w:hAnsi="仿宋" w:eastAsia="仿宋"/>
                <w:kern w:val="0"/>
                <w:sz w:val="24"/>
              </w:rPr>
            </w:pPr>
            <w:r>
              <w:rPr>
                <w:rFonts w:hint="eastAsia" w:ascii="仿宋" w:hAnsi="仿宋" w:eastAsia="仿宋"/>
                <w:kern w:val="0"/>
                <w:sz w:val="24"/>
              </w:rPr>
              <w:t>20</w:t>
            </w:r>
            <w:r>
              <w:rPr>
                <w:rFonts w:ascii="仿宋" w:hAnsi="仿宋" w:eastAsia="仿宋"/>
                <w:kern w:val="0"/>
                <w:sz w:val="24"/>
              </w:rPr>
              <w:t>20</w:t>
            </w: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7</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7903</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122</w:t>
            </w:r>
            <w:r>
              <w:rPr>
                <w:rFonts w:ascii="仿宋" w:hAnsi="仿宋" w:eastAsia="仿宋"/>
                <w:kern w:val="0"/>
                <w:sz w:val="24"/>
              </w:rPr>
              <w:t>50</w:t>
            </w:r>
          </w:p>
        </w:tc>
        <w:tc>
          <w:tcPr>
            <w:tcW w:w="1932" w:type="dxa"/>
            <w:vAlign w:val="center"/>
          </w:tcPr>
          <w:p>
            <w:pPr>
              <w:spacing w:line="640" w:lineRule="exact"/>
              <w:jc w:val="center"/>
              <w:rPr>
                <w:rFonts w:ascii="仿宋" w:hAnsi="仿宋" w:eastAsia="仿宋"/>
                <w:kern w:val="0"/>
                <w:sz w:val="24"/>
              </w:rPr>
            </w:pPr>
            <w:r>
              <w:rPr>
                <w:rFonts w:ascii="仿宋" w:hAnsi="仿宋" w:eastAsia="仿宋"/>
                <w:kern w:val="0"/>
                <w:sz w:val="24"/>
              </w:rPr>
              <w:t>185233.33</w:t>
            </w:r>
          </w:p>
        </w:tc>
        <w:tc>
          <w:tcPr>
            <w:tcW w:w="1859" w:type="dxa"/>
            <w:vMerge w:val="restart"/>
          </w:tcPr>
          <w:p>
            <w:pPr>
              <w:spacing w:line="300" w:lineRule="exact"/>
              <w:rPr>
                <w:rFonts w:ascii="仿宋" w:hAnsi="仿宋" w:eastAsia="仿宋"/>
                <w:kern w:val="0"/>
                <w:sz w:val="24"/>
                <w:szCs w:val="21"/>
              </w:rPr>
            </w:pPr>
            <w:r>
              <w:rPr>
                <w:rFonts w:hint="eastAsia" w:ascii="仿宋" w:hAnsi="仿宋" w:eastAsia="仿宋"/>
                <w:kern w:val="0"/>
                <w:sz w:val="24"/>
                <w:szCs w:val="21"/>
              </w:rPr>
              <w:t>1、贷款包括流动资金贷款、票据贴现等；</w:t>
            </w:r>
          </w:p>
          <w:p>
            <w:pPr>
              <w:spacing w:line="300" w:lineRule="exact"/>
              <w:rPr>
                <w:rFonts w:ascii="仿宋" w:hAnsi="仿宋" w:eastAsia="仿宋"/>
                <w:kern w:val="0"/>
                <w:sz w:val="24"/>
                <w:szCs w:val="21"/>
              </w:rPr>
            </w:pPr>
            <w:r>
              <w:rPr>
                <w:rFonts w:hint="eastAsia" w:ascii="仿宋" w:hAnsi="仿宋" w:eastAsia="仿宋"/>
                <w:kern w:val="0"/>
                <w:sz w:val="24"/>
                <w:szCs w:val="21"/>
              </w:rPr>
              <w:t>2、利息仅为</w:t>
            </w:r>
            <w:r>
              <w:rPr>
                <w:rFonts w:ascii="仿宋" w:hAnsi="仿宋" w:eastAsia="仿宋"/>
                <w:kern w:val="0"/>
                <w:sz w:val="24"/>
                <w:szCs w:val="21"/>
              </w:rPr>
              <w:t>单个节点</w:t>
            </w:r>
            <w:r>
              <w:rPr>
                <w:rFonts w:hint="eastAsia" w:ascii="仿宋" w:hAnsi="仿宋" w:eastAsia="仿宋"/>
                <w:kern w:val="0"/>
                <w:sz w:val="24"/>
                <w:szCs w:val="21"/>
              </w:rPr>
              <w:t>资金</w:t>
            </w:r>
            <w:r>
              <w:rPr>
                <w:rFonts w:ascii="仿宋" w:hAnsi="仿宋" w:eastAsia="仿宋"/>
                <w:kern w:val="0"/>
                <w:sz w:val="24"/>
                <w:szCs w:val="21"/>
              </w:rPr>
              <w:t>占用利息，实际更高</w:t>
            </w:r>
            <w:r>
              <w:rPr>
                <w:rFonts w:hint="eastAsia" w:ascii="仿宋" w:hAnsi="仿宋" w:eastAsia="仿宋"/>
                <w:kern w:val="0"/>
                <w:sz w:val="24"/>
                <w:szCs w:val="21"/>
              </w:rPr>
              <w:t>；</w:t>
            </w:r>
          </w:p>
          <w:p>
            <w:pPr>
              <w:spacing w:line="300" w:lineRule="exact"/>
              <w:rPr>
                <w:rFonts w:ascii="仿宋" w:hAnsi="仿宋" w:eastAsia="仿宋"/>
                <w:kern w:val="0"/>
                <w:sz w:val="24"/>
                <w:szCs w:val="21"/>
              </w:rPr>
            </w:pPr>
            <w:r>
              <w:rPr>
                <w:rFonts w:hint="eastAsia" w:ascii="仿宋" w:hAnsi="仿宋" w:eastAsia="仿宋"/>
                <w:kern w:val="0"/>
                <w:sz w:val="24"/>
                <w:szCs w:val="21"/>
              </w:rPr>
              <w:t>3、棉花年经营量包括省级滚动储备、一般贸易等；</w:t>
            </w:r>
          </w:p>
          <w:p>
            <w:pPr>
              <w:spacing w:line="300" w:lineRule="exact"/>
              <w:rPr>
                <w:rFonts w:ascii="仿宋" w:hAnsi="仿宋" w:eastAsia="仿宋"/>
                <w:kern w:val="0"/>
                <w:sz w:val="24"/>
                <w:szCs w:val="21"/>
              </w:rPr>
            </w:pPr>
            <w:r>
              <w:rPr>
                <w:rFonts w:hint="eastAsia" w:ascii="仿宋" w:hAnsi="仿宋" w:eastAsia="仿宋"/>
                <w:kern w:val="0"/>
                <w:sz w:val="24"/>
                <w:szCs w:val="21"/>
              </w:rPr>
              <w:t>4、库存量仅反映部分储备量，一些储备棉在当月已完成滚动轮换储备，实际</w:t>
            </w:r>
            <w:r>
              <w:rPr>
                <w:rFonts w:ascii="仿宋" w:hAnsi="仿宋" w:eastAsia="仿宋"/>
                <w:kern w:val="0"/>
                <w:sz w:val="24"/>
                <w:szCs w:val="21"/>
              </w:rPr>
              <w:t>量应该更高</w:t>
            </w:r>
            <w:r>
              <w:rPr>
                <w:rFonts w:hint="eastAsia" w:ascii="仿宋" w:hAnsi="仿宋" w:eastAsia="仿宋"/>
                <w:kern w:val="0"/>
                <w:sz w:val="24"/>
                <w:szCs w:val="21"/>
              </w:rPr>
              <w:t>；</w:t>
            </w:r>
          </w:p>
          <w:p>
            <w:pPr>
              <w:spacing w:line="300" w:lineRule="exact"/>
              <w:rPr>
                <w:rFonts w:ascii="仿宋" w:hAnsi="仿宋" w:eastAsia="仿宋"/>
                <w:kern w:val="0"/>
                <w:sz w:val="24"/>
              </w:rPr>
            </w:pPr>
            <w:r>
              <w:rPr>
                <w:rFonts w:hint="eastAsia" w:ascii="仿宋" w:hAnsi="仿宋" w:eastAsia="仿宋"/>
                <w:kern w:val="0"/>
                <w:sz w:val="24"/>
                <w:szCs w:val="21"/>
              </w:rPr>
              <w:t>5、结合经营</w:t>
            </w:r>
            <w:r>
              <w:rPr>
                <w:rFonts w:ascii="仿宋" w:hAnsi="仿宋" w:eastAsia="仿宋"/>
                <w:kern w:val="0"/>
                <w:sz w:val="24"/>
                <w:szCs w:val="21"/>
              </w:rPr>
              <w:t>滚动需要，该项工作由</w:t>
            </w:r>
            <w:r>
              <w:rPr>
                <w:rFonts w:hint="eastAsia" w:ascii="仿宋" w:hAnsi="仿宋" w:eastAsia="仿宋"/>
                <w:kern w:val="0"/>
                <w:sz w:val="24"/>
                <w:szCs w:val="21"/>
              </w:rPr>
              <w:t>四川省棉麻集团有限公司、</w:t>
            </w:r>
            <w:r>
              <w:rPr>
                <w:rFonts w:ascii="仿宋" w:hAnsi="仿宋" w:eastAsia="仿宋"/>
                <w:kern w:val="0"/>
                <w:sz w:val="24"/>
                <w:szCs w:val="21"/>
              </w:rPr>
              <w:t>子公司新疆西部汇通棉业、乌苏康隆棉业共同执行。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8</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6207</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962</w:t>
            </w:r>
            <w:r>
              <w:rPr>
                <w:rFonts w:ascii="仿宋" w:hAnsi="仿宋" w:eastAsia="仿宋"/>
                <w:kern w:val="0"/>
                <w:sz w:val="24"/>
              </w:rPr>
              <w:t>1</w:t>
            </w:r>
          </w:p>
        </w:tc>
        <w:tc>
          <w:tcPr>
            <w:tcW w:w="1932" w:type="dxa"/>
            <w:vAlign w:val="center"/>
          </w:tcPr>
          <w:p>
            <w:pPr>
              <w:spacing w:line="640" w:lineRule="exact"/>
              <w:jc w:val="center"/>
              <w:rPr>
                <w:rFonts w:ascii="仿宋" w:hAnsi="仿宋" w:eastAsia="仿宋"/>
                <w:kern w:val="0"/>
                <w:sz w:val="24"/>
              </w:rPr>
            </w:pPr>
            <w:r>
              <w:rPr>
                <w:rFonts w:ascii="仿宋" w:hAnsi="仿宋" w:eastAsia="仿宋"/>
                <w:kern w:val="0"/>
                <w:sz w:val="24"/>
              </w:rPr>
              <w:t>277183.33</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9</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6075</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9416</w:t>
            </w:r>
          </w:p>
        </w:tc>
        <w:tc>
          <w:tcPr>
            <w:tcW w:w="1932" w:type="dxa"/>
            <w:vAlign w:val="center"/>
          </w:tcPr>
          <w:p>
            <w:pPr>
              <w:spacing w:line="640" w:lineRule="exact"/>
              <w:jc w:val="center"/>
              <w:rPr>
                <w:rFonts w:ascii="仿宋" w:hAnsi="仿宋" w:eastAsia="仿宋"/>
                <w:kern w:val="0"/>
                <w:sz w:val="24"/>
              </w:rPr>
            </w:pPr>
            <w:r>
              <w:rPr>
                <w:rFonts w:ascii="仿宋" w:hAnsi="仿宋" w:eastAsia="仿宋"/>
                <w:kern w:val="0"/>
                <w:sz w:val="24"/>
              </w:rPr>
              <w:t>295791.66</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10</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6498</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1007</w:t>
            </w:r>
            <w:r>
              <w:rPr>
                <w:rFonts w:ascii="仿宋" w:hAnsi="仿宋" w:eastAsia="仿宋"/>
                <w:kern w:val="0"/>
                <w:sz w:val="24"/>
              </w:rPr>
              <w:t>2</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286250</w:t>
            </w:r>
            <w:r>
              <w:rPr>
                <w:rFonts w:ascii="仿宋" w:hAnsi="仿宋" w:eastAsia="仿宋"/>
                <w:kern w:val="0"/>
                <w:sz w:val="24"/>
              </w:rPr>
              <w:t>.00</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11</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6069</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940</w:t>
            </w:r>
            <w:r>
              <w:rPr>
                <w:rFonts w:ascii="仿宋" w:hAnsi="仿宋" w:eastAsia="仿宋"/>
                <w:kern w:val="0"/>
                <w:sz w:val="24"/>
              </w:rPr>
              <w:t>7</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295791.66</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12</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5206</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8069</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445138.9</w:t>
            </w:r>
            <w:r>
              <w:rPr>
                <w:rFonts w:ascii="仿宋" w:hAnsi="仿宋" w:eastAsia="仿宋"/>
                <w:kern w:val="0"/>
                <w:sz w:val="24"/>
              </w:rPr>
              <w:t>0</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restart"/>
            <w:vAlign w:val="center"/>
          </w:tcPr>
          <w:p>
            <w:pPr>
              <w:spacing w:line="640" w:lineRule="exact"/>
              <w:jc w:val="center"/>
              <w:rPr>
                <w:rFonts w:ascii="仿宋" w:hAnsi="仿宋" w:eastAsia="仿宋"/>
                <w:kern w:val="0"/>
                <w:sz w:val="24"/>
              </w:rPr>
            </w:pPr>
            <w:r>
              <w:rPr>
                <w:rFonts w:hint="eastAsia" w:ascii="仿宋" w:hAnsi="仿宋" w:eastAsia="仿宋"/>
                <w:kern w:val="0"/>
                <w:sz w:val="24"/>
              </w:rPr>
              <w:t>20</w:t>
            </w:r>
            <w:r>
              <w:rPr>
                <w:rFonts w:ascii="仿宋" w:hAnsi="仿宋" w:eastAsia="仿宋"/>
                <w:kern w:val="0"/>
                <w:sz w:val="24"/>
              </w:rPr>
              <w:t>21</w:t>
            </w: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1</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5902</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9148</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295791.66</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2</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7715</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11958</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291841.66</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3</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7702</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11938</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542866.66</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4</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9102</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14108</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296566.66</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5</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4995</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7742</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284000.00</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2" w:type="dxa"/>
            <w:vMerge w:val="continue"/>
          </w:tcPr>
          <w:p>
            <w:pPr>
              <w:spacing w:line="640" w:lineRule="exact"/>
              <w:jc w:val="center"/>
              <w:rPr>
                <w:rFonts w:ascii="仿宋" w:hAnsi="仿宋" w:eastAsia="仿宋"/>
                <w:kern w:val="0"/>
                <w:sz w:val="24"/>
              </w:rPr>
            </w:pPr>
          </w:p>
        </w:tc>
        <w:tc>
          <w:tcPr>
            <w:tcW w:w="799" w:type="dxa"/>
            <w:vAlign w:val="center"/>
          </w:tcPr>
          <w:p>
            <w:pPr>
              <w:spacing w:line="640" w:lineRule="exact"/>
              <w:jc w:val="center"/>
              <w:rPr>
                <w:rFonts w:ascii="仿宋" w:hAnsi="仿宋" w:eastAsia="仿宋"/>
                <w:kern w:val="0"/>
                <w:sz w:val="24"/>
              </w:rPr>
            </w:pPr>
            <w:r>
              <w:rPr>
                <w:rFonts w:ascii="仿宋" w:hAnsi="仿宋" w:eastAsia="仿宋"/>
                <w:kern w:val="0"/>
                <w:sz w:val="24"/>
              </w:rPr>
              <w:t>6</w:t>
            </w:r>
          </w:p>
        </w:tc>
        <w:tc>
          <w:tcPr>
            <w:tcW w:w="1908" w:type="dxa"/>
            <w:gridSpan w:val="2"/>
            <w:vAlign w:val="center"/>
          </w:tcPr>
          <w:p>
            <w:pPr>
              <w:spacing w:line="640" w:lineRule="exact"/>
              <w:jc w:val="center"/>
              <w:rPr>
                <w:rFonts w:ascii="仿宋" w:hAnsi="仿宋" w:eastAsia="仿宋"/>
                <w:kern w:val="0"/>
                <w:sz w:val="24"/>
              </w:rPr>
            </w:pPr>
            <w:r>
              <w:rPr>
                <w:rFonts w:hint="eastAsia" w:ascii="仿宋" w:hAnsi="仿宋" w:eastAsia="仿宋"/>
                <w:kern w:val="0"/>
                <w:sz w:val="24"/>
              </w:rPr>
              <w:t>5616</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870</w:t>
            </w:r>
            <w:r>
              <w:rPr>
                <w:rFonts w:ascii="仿宋" w:hAnsi="仿宋" w:eastAsia="仿宋"/>
                <w:kern w:val="0"/>
                <w:sz w:val="24"/>
              </w:rPr>
              <w:t>5</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596286.1</w:t>
            </w:r>
            <w:r>
              <w:rPr>
                <w:rFonts w:ascii="仿宋" w:hAnsi="仿宋" w:eastAsia="仿宋"/>
                <w:kern w:val="0"/>
                <w:sz w:val="24"/>
              </w:rPr>
              <w:t>0</w:t>
            </w:r>
          </w:p>
        </w:tc>
        <w:tc>
          <w:tcPr>
            <w:tcW w:w="1859" w:type="dxa"/>
            <w:vMerge w:val="continue"/>
          </w:tcPr>
          <w:p>
            <w:pPr>
              <w:spacing w:line="640" w:lineRule="exact"/>
              <w:rPr>
                <w:rFonts w:ascii="仿宋" w:hAnsi="仿宋"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9" w:type="dxa"/>
            <w:gridSpan w:val="3"/>
            <w:vAlign w:val="center"/>
          </w:tcPr>
          <w:p>
            <w:pPr>
              <w:spacing w:line="640" w:lineRule="exact"/>
              <w:jc w:val="center"/>
              <w:rPr>
                <w:rFonts w:ascii="仿宋" w:hAnsi="仿宋" w:eastAsia="仿宋"/>
                <w:kern w:val="0"/>
                <w:sz w:val="24"/>
              </w:rPr>
            </w:pPr>
            <w:r>
              <w:rPr>
                <w:rFonts w:hint="eastAsia" w:ascii="仿宋" w:hAnsi="仿宋" w:eastAsia="仿宋"/>
                <w:kern w:val="0"/>
                <w:sz w:val="24"/>
              </w:rPr>
              <w:t>棉花年经营量</w:t>
            </w:r>
          </w:p>
        </w:tc>
        <w:tc>
          <w:tcPr>
            <w:tcW w:w="147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96040</w:t>
            </w:r>
          </w:p>
        </w:tc>
        <w:tc>
          <w:tcPr>
            <w:tcW w:w="2280"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占用</w:t>
            </w:r>
            <w:r>
              <w:rPr>
                <w:rFonts w:ascii="仿宋" w:hAnsi="仿宋" w:eastAsia="仿宋"/>
                <w:kern w:val="0"/>
                <w:sz w:val="24"/>
              </w:rPr>
              <w:t>资金利息</w:t>
            </w:r>
          </w:p>
        </w:tc>
        <w:tc>
          <w:tcPr>
            <w:tcW w:w="1932" w:type="dxa"/>
            <w:vAlign w:val="center"/>
          </w:tcPr>
          <w:p>
            <w:pPr>
              <w:spacing w:line="640" w:lineRule="exact"/>
              <w:jc w:val="center"/>
              <w:rPr>
                <w:rFonts w:ascii="仿宋" w:hAnsi="仿宋" w:eastAsia="仿宋"/>
                <w:kern w:val="0"/>
                <w:sz w:val="24"/>
              </w:rPr>
            </w:pPr>
            <w:r>
              <w:rPr>
                <w:rFonts w:hint="eastAsia" w:ascii="仿宋" w:hAnsi="仿宋" w:eastAsia="仿宋"/>
                <w:kern w:val="0"/>
                <w:sz w:val="24"/>
              </w:rPr>
              <w:t>4095741.62</w:t>
            </w:r>
          </w:p>
        </w:tc>
        <w:tc>
          <w:tcPr>
            <w:tcW w:w="1859" w:type="dxa"/>
            <w:vMerge w:val="continue"/>
          </w:tcPr>
          <w:p>
            <w:pPr>
              <w:spacing w:line="640" w:lineRule="exact"/>
              <w:rPr>
                <w:rFonts w:ascii="仿宋" w:hAnsi="仿宋" w:eastAsia="仿宋"/>
                <w:kern w:val="0"/>
                <w:sz w:val="24"/>
              </w:rPr>
            </w:pPr>
          </w:p>
        </w:tc>
      </w:tr>
    </w:tbl>
    <w:p>
      <w:pPr>
        <w:adjustRightInd w:val="0"/>
        <w:snapToGrid w:val="0"/>
        <w:spacing w:line="560" w:lineRule="exact"/>
        <w:ind w:firstLine="643" w:firstLineChars="200"/>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（四）项目效益情况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1.受益群体满意度。</w:t>
      </w:r>
      <w:r>
        <w:rPr>
          <w:rFonts w:hint="eastAsia" w:ascii="仿宋_GB2312" w:hAnsi="仿宋_GB2312" w:eastAsia="仿宋_GB2312" w:cs="仿宋_GB2312"/>
          <w:sz w:val="32"/>
          <w:szCs w:val="32"/>
        </w:rPr>
        <w:t>2008年汶川大地震、2013年雅安芦山大地震、2017年九寨沟地震、2019年宜宾珙县地震等，省政府、省民政厅及各受灾县对公司应急保供给予了极高的评价，也受到了群众的一致好评。2015年，凉山州越西县尔赛乡对公司提供棉被支持精准扶贫表示了由衷地感谢。2016年“走基层、送温暖”活动，确保了困难群众安全温暖过冬，相关应急组织工作得到了省直机关工委和各单位的高度肯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2.社会效果突出。经过</w:t>
      </w:r>
      <w:r>
        <w:rPr>
          <w:rFonts w:hint="eastAsia" w:ascii="仿宋_GB2312" w:hAnsi="仿宋_GB2312" w:eastAsia="仿宋_GB2312" w:cs="仿宋_GB2312"/>
          <w:sz w:val="32"/>
          <w:szCs w:val="32"/>
        </w:rPr>
        <w:t>多年的棉花省级储备，四川省棉麻集团有限公司已成为政府储得进、管得好、轮得出、用得上的强有力的市场调控“抓手”。</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Cs/>
          <w:sz w:val="32"/>
          <w:szCs w:val="32"/>
        </w:rPr>
        <w:t>一是为</w:t>
      </w:r>
      <w:r>
        <w:rPr>
          <w:rFonts w:hint="eastAsia" w:ascii="仿宋_GB2312" w:hAnsi="仿宋_GB2312" w:eastAsia="仿宋_GB2312" w:cs="仿宋_GB2312"/>
          <w:sz w:val="32"/>
          <w:szCs w:val="32"/>
        </w:rPr>
        <w:t>全省救灾扶贫等应急调控发挥了重要作用。2008年汶川大地震，向地震灾区调运救灾棉被40万余床，2013年雅安芦山大地震爆发三个工作日内，调运救灾棉被5万余床。2012、2013棉花年度，与中国储备棉总公司合作，开展棉花临时收储，收储量达30余万吨。2015年为越西县尔赛乡供应精准扶贫棉被。2016年，根据省委省政府要求，四川省棉麻集团有限公司承担全省“走基层、送温暖”棉被棉衣生产调运任务，短时间内调运棉被60万床、棉衣10万件，累计使用储备棉花1260吨，为全省扶贫攻坚、保障困难群众顺利过冬做出了巨大的贡献。2019年宜宾珙县地震，向地震灾区免费生产调运棉被1000床，保障了省内应急物资的供应，为抗震救灾做出积极贡献。</w:t>
      </w:r>
    </w:p>
    <w:p>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二是为稳</w:t>
      </w:r>
      <w:r>
        <w:rPr>
          <w:rFonts w:hint="eastAsia" w:ascii="仿宋_GB2312" w:hAnsi="仿宋_GB2312" w:eastAsia="仿宋_GB2312" w:cs="仿宋_GB2312"/>
          <w:sz w:val="32"/>
          <w:szCs w:val="32"/>
        </w:rPr>
        <w:t>定省内棉花市场做出了巨大了贡献。公司从新疆调运棉花储备，既及时满足省内纺织企业用棉需求，更在省外市场价格大大高于省内时，进行轮出，平抑了省内棉价，避免了价格巨幅波动冲击纺织行业，保证了企业用得上与省外同行成本相当甚至更低的棉花原料，大大提高了省内纺织企业竞争力，为保持省内纺织工业持续稳定发展发挥了积极作用。</w:t>
      </w:r>
    </w:p>
    <w:p>
      <w:pPr>
        <w:adjustRightInd w:val="0"/>
        <w:snapToGrid w:val="0"/>
        <w:spacing w:line="560" w:lineRule="exact"/>
        <w:ind w:firstLine="6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三是为省内提供高质量的棉花供应，是四川省棉纺织行业协会副会长单位，带头树立了诚信经营、良心供棉形象，规范了流通秩序，杜绝了黑心棉等流入，保护了行业利益，履行了社会责任。</w:t>
      </w: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是监测全省棉花流通、消费动态，实时掌握我省棉花消费数据、市场价格、行业发展等数据，数据是当前西南地区棉花最权威、最准确的指数之一，为省发改委、财政厅、商务厅、纤检局等部门调控提供依据，并为国家监测提供支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五是带动了物流等相关产业发展。项目累计为社会提供就业岗位50个，带动运输</w:t>
      </w:r>
      <w:r>
        <w:rPr>
          <w:rFonts w:hint="eastAsia" w:ascii="仿宋_GB2312" w:hAnsi="仿宋_GB2312" w:eastAsia="仿宋_GB2312" w:cs="仿宋_GB2312"/>
          <w:sz w:val="32"/>
          <w:szCs w:val="32"/>
        </w:rPr>
        <w:t>、仓储等行业发展，转移农村剩余劳动力就业达200余人。</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五、存在主要问题</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方正楷体_GBK" w:hAnsi="方正楷体_GBK" w:eastAsia="方正楷体_GBK" w:cs="方正楷体_GBK"/>
          <w:b/>
          <w:sz w:val="32"/>
          <w:szCs w:val="32"/>
        </w:rPr>
        <w:t>（一）储备成本大幅上涨。</w:t>
      </w:r>
      <w:r>
        <w:rPr>
          <w:rFonts w:hint="eastAsia" w:ascii="仿宋_GB2312" w:hAnsi="仿宋_GB2312" w:eastAsia="仿宋_GB2312" w:cs="仿宋_GB2312"/>
          <w:sz w:val="32"/>
          <w:szCs w:val="32"/>
        </w:rPr>
        <w:t>储备的实施已十几个年头，人工、棉价、仓储等成本大幅上涨，以棉价为例，由2005年的13000元/吨上涨至2016年的17000元/吨，到2021年的16500元/吨，2010年甚至达3万元/吨，储备资金需求规模增大，但相关补助额度一直未作调整，远远低于企业的实际成本支出，企业资金压力极大。以2018、2019年为例，四川省棉麻集团有限公司分别调入棉花57739吨、86919吨，分别支出资金利息506万元、457万元。</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方正楷体_GBK" w:hAnsi="方正楷体_GBK" w:eastAsia="方正楷体_GBK" w:cs="方正楷体_GBK"/>
          <w:b/>
          <w:sz w:val="32"/>
          <w:szCs w:val="32"/>
        </w:rPr>
        <w:t>（二）应急需求急剧扩大。</w:t>
      </w:r>
      <w:r>
        <w:rPr>
          <w:rFonts w:hint="eastAsia" w:ascii="仿宋_GB2312" w:hAnsi="仿宋_GB2312" w:eastAsia="仿宋_GB2312" w:cs="仿宋_GB2312"/>
          <w:sz w:val="32"/>
          <w:szCs w:val="32"/>
        </w:rPr>
        <w:t>公司承担的应急任务不断加重，从2008年的40万床棉被，到2016年已增加到60万床棉被、10万件棉衣。</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方正楷体_GBK" w:hAnsi="方正楷体_GBK" w:eastAsia="方正楷体_GBK" w:cs="方正楷体_GBK"/>
          <w:b/>
          <w:sz w:val="32"/>
          <w:szCs w:val="32"/>
        </w:rPr>
        <w:t>（三）市场需求增加。</w:t>
      </w:r>
      <w:r>
        <w:rPr>
          <w:rFonts w:hint="eastAsia" w:ascii="方正楷体_GBK" w:hAnsi="方正楷体_GBK" w:eastAsia="方正楷体_GBK" w:cs="方正楷体_GBK"/>
          <w:sz w:val="32"/>
          <w:szCs w:val="32"/>
        </w:rPr>
        <w:t>近</w:t>
      </w:r>
      <w:r>
        <w:rPr>
          <w:rFonts w:hint="eastAsia" w:ascii="仿宋_GB2312" w:hAnsi="仿宋_GB2312" w:eastAsia="仿宋_GB2312" w:cs="仿宋_GB2312"/>
          <w:sz w:val="32"/>
          <w:szCs w:val="32"/>
        </w:rPr>
        <w:t>两年，四川省在乐山、宜宾、芦山设立了3个纺织产业集群地，大量纺织企业加速转移，大批知名企业和著名品牌落户我省，棉花需求量不断加大，发展后劲不断增强，全省棉花保障能力还需进一步提高。</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六、相关措施建议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过多年的棉花经营性滚动储备，棉花储备为全省提供高质量棉花供应、稳定省内棉花市场、提高全省救灾扶贫等应急调控发挥了重要作用。在提高棉花储备防风险方面提出一些意见和建议，一是随着近年来省级企业发展后劲不断增强，省级应急保供需求规模增加，应提高棉花经营性滚动储备规模，才能满足日益增长的市场需求和应急要求，建议棉花储备规模由3万吨/年增加至4.5万吨/年；二是综合多年全省纺织发展及应急用棉需求来看，棉花储备规模增加，储备资金需求规模增大，应适当增加贴息补助规模，建议将贴息提升至350万元/年；三是大力健全升级储备棉应急网络，充分利用现有资源和企业设施，构建以省级骨干经营企业为龙头，以企业流通投放网络为基础，以覆盖全省主要纺织集聚地为目标，棉花收购加工、储运、供应、深加工等各环节协调配套的新型棉花储备网络，形成布局合理、设施完备、运转高效、保障有力的棉花平急保障体系。</w:t>
      </w:r>
    </w:p>
    <w:p>
      <w:pPr>
        <w:pStyle w:val="2"/>
        <w:spacing w:before="93"/>
        <w:rPr>
          <w:rFonts w:hAnsi="仿宋_GB2312" w:cs="仿宋_GB2312"/>
          <w:sz w:val="32"/>
          <w:szCs w:val="32"/>
        </w:rPr>
      </w:pPr>
    </w:p>
    <w:p>
      <w:pPr>
        <w:pStyle w:val="2"/>
        <w:spacing w:before="93"/>
        <w:rPr>
          <w:rFonts w:hAnsi="仿宋_GB2312" w:cs="仿宋_GB2312"/>
          <w:sz w:val="32"/>
          <w:szCs w:val="32"/>
        </w:rPr>
      </w:pPr>
    </w:p>
    <w:p>
      <w:pPr>
        <w:adjustRightInd w:val="0"/>
        <w:snapToGrid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2020年部门预算项目支出绩效自评报告</w:t>
      </w:r>
    </w:p>
    <w:p>
      <w:pPr>
        <w:tabs>
          <w:tab w:val="left" w:pos="3885"/>
        </w:tabs>
        <w:adjustRightInd w:val="0"/>
        <w:snapToGrid w:val="0"/>
        <w:spacing w:line="560" w:lineRule="exact"/>
        <w:jc w:val="center"/>
        <w:rPr>
          <w:rFonts w:hAnsi="宋体" w:eastAsia="仿宋_GB2312"/>
          <w:sz w:val="32"/>
          <w:szCs w:val="32"/>
        </w:rPr>
      </w:pPr>
      <w:r>
        <w:rPr>
          <w:rFonts w:hint="eastAsia" w:hAnsi="宋体" w:eastAsia="仿宋_GB2312"/>
          <w:sz w:val="32"/>
          <w:szCs w:val="32"/>
        </w:rPr>
        <w:t>（省级化肥储备贴息项目）</w:t>
      </w:r>
    </w:p>
    <w:p>
      <w:pPr>
        <w:tabs>
          <w:tab w:val="left" w:pos="3885"/>
        </w:tabs>
        <w:adjustRightInd w:val="0"/>
        <w:snapToGrid w:val="0"/>
        <w:spacing w:line="560" w:lineRule="exact"/>
        <w:ind w:firstLine="643" w:firstLineChars="200"/>
        <w:rPr>
          <w:rFonts w:ascii="仿宋_GB2312" w:hAnsi="仿宋_GB2312" w:eastAsia="仿宋_GB2312" w:cs="仿宋_GB2312"/>
          <w:b/>
          <w:sz w:val="32"/>
          <w:szCs w:val="32"/>
        </w:rPr>
      </w:pPr>
    </w:p>
    <w:p>
      <w:pPr>
        <w:pStyle w:val="2"/>
        <w:adjustRightInd w:val="0"/>
        <w:snapToGrid w:val="0"/>
        <w:spacing w:before="93" w:line="560" w:lineRule="exact"/>
        <w:rPr>
          <w:sz w:val="32"/>
          <w:szCs w:val="32"/>
        </w:rPr>
      </w:pPr>
      <w:r>
        <w:rPr>
          <w:rFonts w:hint="eastAsia" w:hAnsi="仿宋_GB2312" w:cs="仿宋_GB2312"/>
          <w:bCs/>
          <w:sz w:val="32"/>
          <w:szCs w:val="32"/>
        </w:rPr>
        <w:t xml:space="preserve"> </w:t>
      </w:r>
      <w:r>
        <w:rPr>
          <w:rFonts w:hint="eastAsia" w:hAnsi="仿宋_GB2312" w:cs="仿宋_GB2312"/>
          <w:bCs/>
          <w:sz w:val="32"/>
          <w:szCs w:val="32"/>
          <w:lang w:val="en-US" w:eastAsia="zh-CN"/>
        </w:rPr>
        <w:t xml:space="preserve">   </w:t>
      </w:r>
      <w:r>
        <w:rPr>
          <w:rFonts w:hint="eastAsia" w:hAnsi="仿宋_GB2312" w:cs="仿宋_GB2312"/>
          <w:bCs/>
          <w:sz w:val="32"/>
          <w:szCs w:val="32"/>
        </w:rPr>
        <w:t>根据绩效评价工作的相关要求，我社对省级化肥储备项目进行了绩效自评，现将情况报告如下：</w:t>
      </w:r>
    </w:p>
    <w:p>
      <w:pPr>
        <w:tabs>
          <w:tab w:val="left" w:pos="3885"/>
        </w:tabs>
        <w:snapToGrid w:val="0"/>
        <w:spacing w:line="580" w:lineRule="exact"/>
        <w:ind w:firstLine="640" w:firstLineChars="200"/>
        <w:jc w:val="left"/>
        <w:rPr>
          <w:rFonts w:ascii="黑体" w:hAnsi="宋体" w:eastAsia="黑体"/>
          <w:sz w:val="32"/>
          <w:szCs w:val="32"/>
        </w:rPr>
      </w:pPr>
      <w:r>
        <w:rPr>
          <w:rFonts w:hint="eastAsia" w:ascii="黑体" w:hAnsi="宋体" w:eastAsia="黑体"/>
          <w:sz w:val="32"/>
          <w:szCs w:val="32"/>
        </w:rPr>
        <w:t>一、基本情况</w:t>
      </w:r>
    </w:p>
    <w:p>
      <w:pPr>
        <w:adjustRightInd w:val="0"/>
        <w:snapToGrid w:val="0"/>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（一）项目概况及实施情况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省级化肥储备制度相关内容，我省省级化肥储备为商业储备，化肥年度储备总量为30万吨，储备期间，化肥累计调入量不少于任务量的1.5倍，月末平均库存量不少于10万吨。储备品种原则上按农业生产区域用肥的需求进行配置。储备化肥以尿素、钾肥、复合肥（含磷酸一、二铵、有机无机复混肥）、有机肥、水溶肥、碳铵、磷肥等化肥为主，储备期限为六个月，2019—2020年省级化肥储备期为2019年11月至2020年4月。承储期满后，省社委托中介对承担2019年至2020年省级化肥商业储备任务完成情况进行了审计评价。根据审计评价，项目承储企业邦力达农资连锁有限公司（以下简称：邦力达公司）及其子公司在储备期间，累计调入量为128.18万吨，完成了省级化肥储备任务。</w:t>
      </w:r>
    </w:p>
    <w:p>
      <w:pPr>
        <w:adjustRightInd w:val="0"/>
        <w:snapToGrid w:val="0"/>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（二）资金投入使用情况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部门预算安排760万元，根据《关于申请拨付2020年省级供销综合改革及发展专项资金用于补充化肥和棉花商业储备贴息补助的函》，省财政拨付500万元用于疫情期间的稳价保供，其中补助化肥储备贴息补助300万元。公司已投入资金完成储备任务，省级化肥储备2019—2020年度补贴资金合计1060万元也已到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二、评价工作开展情况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邦力达公司具备货源保障能力、调运能力、仓储能力、经营规模、全省销售网络等能力。面对四川冬储形势的变化，公司加强采购力度，及时调整经营思路，千方百计组织春耕货源。在去冬今春，为保证春耕农资货源的到位，努力克服市场波动大、价格高位运行、风险大等困难，走工厂，跑市场，积极与省内外化肥生产企业落实货源。通过省储政策撬动，公司有效地放大了经营规模，确保了市场价格稳定，保障了市场供应，全面完成了化肥储备任务。本年度具体承储情况如下：</w:t>
      </w:r>
    </w:p>
    <w:p>
      <w:p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公司2019/2020年度化肥储备经营情况如下（单位：吨）：</w:t>
      </w:r>
    </w:p>
    <w:tbl>
      <w:tblPr>
        <w:tblStyle w:val="13"/>
        <w:tblW w:w="8646"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9"/>
        <w:gridCol w:w="1639"/>
        <w:gridCol w:w="1708"/>
        <w:gridCol w:w="1823"/>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1699" w:type="dxa"/>
            <w:vAlign w:val="bottom"/>
          </w:tcPr>
          <w:p>
            <w:pPr>
              <w:adjustRightInd w:val="0"/>
              <w:snapToGrid w:val="0"/>
              <w:spacing w:line="560" w:lineRule="atLeast"/>
              <w:jc w:val="center"/>
              <w:rPr>
                <w:rFonts w:ascii="仿宋_GB2312" w:eastAsia="仿宋_GB2312"/>
                <w:sz w:val="24"/>
              </w:rPr>
            </w:pPr>
            <w:r>
              <w:rPr>
                <w:rFonts w:hint="eastAsia" w:ascii="仿宋_GB2312" w:eastAsia="仿宋_GB2312"/>
                <w:sz w:val="24"/>
              </w:rPr>
              <w:t>承储年度</w:t>
            </w:r>
          </w:p>
        </w:tc>
        <w:tc>
          <w:tcPr>
            <w:tcW w:w="1639" w:type="dxa"/>
            <w:vAlign w:val="bottom"/>
          </w:tcPr>
          <w:p>
            <w:pPr>
              <w:adjustRightInd w:val="0"/>
              <w:snapToGrid w:val="0"/>
              <w:spacing w:line="560" w:lineRule="atLeast"/>
              <w:jc w:val="center"/>
              <w:rPr>
                <w:rFonts w:ascii="仿宋_GB2312" w:eastAsia="仿宋_GB2312"/>
                <w:sz w:val="24"/>
              </w:rPr>
            </w:pPr>
            <w:r>
              <w:rPr>
                <w:rFonts w:hint="eastAsia" w:ascii="仿宋_GB2312" w:eastAsia="仿宋_GB2312"/>
                <w:sz w:val="24"/>
              </w:rPr>
              <w:t>期初库存</w:t>
            </w:r>
          </w:p>
        </w:tc>
        <w:tc>
          <w:tcPr>
            <w:tcW w:w="1708" w:type="dxa"/>
            <w:vAlign w:val="bottom"/>
          </w:tcPr>
          <w:p>
            <w:pPr>
              <w:adjustRightInd w:val="0"/>
              <w:snapToGrid w:val="0"/>
              <w:spacing w:line="560" w:lineRule="atLeast"/>
              <w:jc w:val="center"/>
              <w:rPr>
                <w:rFonts w:ascii="仿宋_GB2312" w:eastAsia="仿宋_GB2312"/>
                <w:sz w:val="24"/>
              </w:rPr>
            </w:pPr>
            <w:r>
              <w:rPr>
                <w:rFonts w:hint="eastAsia" w:ascii="仿宋_GB2312" w:eastAsia="仿宋_GB2312"/>
                <w:sz w:val="24"/>
              </w:rPr>
              <w:t>累计调入</w:t>
            </w:r>
          </w:p>
        </w:tc>
        <w:tc>
          <w:tcPr>
            <w:tcW w:w="1823" w:type="dxa"/>
            <w:vAlign w:val="bottom"/>
          </w:tcPr>
          <w:p>
            <w:pPr>
              <w:adjustRightInd w:val="0"/>
              <w:snapToGrid w:val="0"/>
              <w:spacing w:line="560" w:lineRule="atLeast"/>
              <w:jc w:val="center"/>
              <w:rPr>
                <w:rFonts w:ascii="仿宋_GB2312" w:eastAsia="仿宋_GB2312"/>
                <w:sz w:val="24"/>
              </w:rPr>
            </w:pPr>
            <w:r>
              <w:rPr>
                <w:rFonts w:hint="eastAsia" w:ascii="仿宋_GB2312" w:eastAsia="仿宋_GB2312"/>
                <w:sz w:val="24"/>
              </w:rPr>
              <w:t>累计调出</w:t>
            </w:r>
          </w:p>
        </w:tc>
        <w:tc>
          <w:tcPr>
            <w:tcW w:w="1777" w:type="dxa"/>
          </w:tcPr>
          <w:p>
            <w:pPr>
              <w:adjustRightInd w:val="0"/>
              <w:snapToGrid w:val="0"/>
              <w:spacing w:line="560" w:lineRule="atLeast"/>
              <w:jc w:val="center"/>
              <w:rPr>
                <w:rFonts w:ascii="仿宋_GB2312" w:eastAsia="仿宋_GB2312"/>
                <w:sz w:val="28"/>
                <w:szCs w:val="28"/>
              </w:rPr>
            </w:pPr>
            <w:r>
              <w:rPr>
                <w:rFonts w:hint="eastAsia" w:ascii="仿宋_GB2312" w:eastAsia="仿宋_GB2312"/>
                <w:sz w:val="24"/>
              </w:rPr>
              <w:t>期末平均库存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699" w:type="dxa"/>
          </w:tcPr>
          <w:p>
            <w:pPr>
              <w:adjustRightInd w:val="0"/>
              <w:snapToGrid w:val="0"/>
              <w:spacing w:line="560" w:lineRule="atLeast"/>
              <w:jc w:val="center"/>
              <w:rPr>
                <w:rFonts w:ascii="仿宋_GB2312" w:eastAsia="仿宋_GB2312"/>
                <w:sz w:val="28"/>
                <w:szCs w:val="28"/>
              </w:rPr>
            </w:pPr>
            <w:r>
              <w:rPr>
                <w:rFonts w:hint="eastAsia" w:ascii="仿宋_GB2312" w:hAnsi="宋体" w:eastAsia="仿宋_GB2312"/>
                <w:color w:val="000000"/>
                <w:sz w:val="24"/>
              </w:rPr>
              <w:t>2019/2020年</w:t>
            </w:r>
          </w:p>
        </w:tc>
        <w:tc>
          <w:tcPr>
            <w:tcW w:w="1639" w:type="dxa"/>
            <w:vAlign w:val="center"/>
          </w:tcPr>
          <w:p>
            <w:pPr>
              <w:jc w:val="center"/>
              <w:rPr>
                <w:rFonts w:ascii="仿宋_GB2312" w:hAnsi="宋体" w:eastAsia="仿宋_GB2312" w:cs="宋体"/>
                <w:color w:val="000000"/>
                <w:sz w:val="24"/>
              </w:rPr>
            </w:pPr>
            <w:r>
              <w:rPr>
                <w:rFonts w:hint="eastAsia" w:ascii="仿宋_GB2312" w:hAnsi="宋体" w:eastAsia="仿宋_GB2312"/>
                <w:color w:val="000000"/>
                <w:sz w:val="24"/>
              </w:rPr>
              <w:t>140,960.84</w:t>
            </w:r>
          </w:p>
        </w:tc>
        <w:tc>
          <w:tcPr>
            <w:tcW w:w="1708" w:type="dxa"/>
            <w:vAlign w:val="center"/>
          </w:tcPr>
          <w:p>
            <w:pPr>
              <w:rPr>
                <w:rFonts w:ascii="仿宋_GB2312" w:hAnsi="宋体" w:eastAsia="仿宋_GB2312" w:cs="宋体"/>
                <w:color w:val="000000"/>
                <w:sz w:val="24"/>
              </w:rPr>
            </w:pPr>
            <w:r>
              <w:rPr>
                <w:rFonts w:hint="eastAsia" w:ascii="仿宋_GB2312" w:hAnsi="宋体" w:eastAsia="仿宋_GB2312" w:cs="宋体"/>
                <w:color w:val="000000"/>
                <w:sz w:val="24"/>
              </w:rPr>
              <w:t>1,281,858.45</w:t>
            </w:r>
          </w:p>
        </w:tc>
        <w:tc>
          <w:tcPr>
            <w:tcW w:w="1823" w:type="dxa"/>
            <w:vAlign w:val="center"/>
          </w:tcPr>
          <w:p>
            <w:pPr>
              <w:jc w:val="center"/>
              <w:rPr>
                <w:rFonts w:ascii="仿宋_GB2312" w:hAnsi="宋体" w:eastAsia="仿宋_GB2312" w:cs="宋体"/>
                <w:color w:val="000000"/>
                <w:sz w:val="24"/>
              </w:rPr>
            </w:pPr>
            <w:r>
              <w:rPr>
                <w:rFonts w:hint="eastAsia" w:ascii="仿宋_GB2312" w:hAnsi="宋体" w:eastAsia="仿宋_GB2312"/>
                <w:color w:val="000000"/>
                <w:sz w:val="24"/>
              </w:rPr>
              <w:t>1,154,213.60</w:t>
            </w:r>
          </w:p>
        </w:tc>
        <w:tc>
          <w:tcPr>
            <w:tcW w:w="1777" w:type="dxa"/>
            <w:vAlign w:val="center"/>
          </w:tcPr>
          <w:p>
            <w:pPr>
              <w:jc w:val="center"/>
              <w:rPr>
                <w:rFonts w:ascii="仿宋_GB2312" w:hAnsi="宋体" w:eastAsia="仿宋_GB2312" w:cs="宋体"/>
                <w:color w:val="000000"/>
                <w:sz w:val="24"/>
              </w:rPr>
            </w:pPr>
            <w:r>
              <w:rPr>
                <w:rFonts w:hint="eastAsia" w:ascii="仿宋_GB2312" w:hAnsi="宋体" w:eastAsia="仿宋_GB2312"/>
                <w:color w:val="000000"/>
                <w:sz w:val="24"/>
              </w:rPr>
              <w:t>214,493.30</w:t>
            </w:r>
          </w:p>
        </w:tc>
      </w:tr>
    </w:tbl>
    <w:p>
      <w:pPr>
        <w:snapToGrid w:val="0"/>
        <w:spacing w:line="600" w:lineRule="exact"/>
        <w:ind w:firstLine="960" w:firstLineChars="300"/>
        <w:rPr>
          <w:rFonts w:ascii="黑体" w:hAnsi="宋体" w:eastAsia="黑体"/>
          <w:szCs w:val="21"/>
        </w:rPr>
      </w:pPr>
      <w:r>
        <w:rPr>
          <w:rFonts w:hint="eastAsia" w:ascii="黑体" w:hAnsi="宋体" w:eastAsia="黑体"/>
          <w:sz w:val="32"/>
          <w:szCs w:val="32"/>
        </w:rPr>
        <w:t>三、综合评价结论（附评分表）</w:t>
      </w:r>
    </w:p>
    <w:tbl>
      <w:tblPr>
        <w:tblStyle w:val="13"/>
        <w:tblW w:w="8640"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500"/>
        <w:gridCol w:w="1776"/>
        <w:gridCol w:w="876"/>
        <w:gridCol w:w="8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08" w:type="dxa"/>
            <w:shd w:val="clear" w:color="auto" w:fill="auto"/>
            <w:noWrap/>
            <w:vAlign w:val="center"/>
          </w:tcPr>
          <w:p>
            <w:pPr>
              <w:widowControl/>
              <w:snapToGrid w:val="0"/>
              <w:spacing w:line="640" w:lineRule="exact"/>
              <w:jc w:val="center"/>
              <w:rPr>
                <w:b/>
                <w:kern w:val="0"/>
                <w:sz w:val="24"/>
              </w:rPr>
            </w:pPr>
            <w:r>
              <w:rPr>
                <w:b/>
                <w:kern w:val="0"/>
                <w:sz w:val="24"/>
              </w:rPr>
              <w:t>一级指标</w:t>
            </w:r>
          </w:p>
        </w:tc>
        <w:tc>
          <w:tcPr>
            <w:tcW w:w="1500" w:type="dxa"/>
            <w:shd w:val="clear" w:color="auto" w:fill="auto"/>
            <w:noWrap/>
            <w:vAlign w:val="center"/>
          </w:tcPr>
          <w:p>
            <w:pPr>
              <w:widowControl/>
              <w:snapToGrid w:val="0"/>
              <w:spacing w:line="640" w:lineRule="exact"/>
              <w:jc w:val="center"/>
              <w:rPr>
                <w:b/>
                <w:bCs/>
                <w:kern w:val="0"/>
                <w:sz w:val="24"/>
              </w:rPr>
            </w:pPr>
            <w:r>
              <w:rPr>
                <w:b/>
                <w:bCs/>
                <w:kern w:val="0"/>
                <w:sz w:val="24"/>
              </w:rPr>
              <w:t>二级指标</w:t>
            </w:r>
          </w:p>
        </w:tc>
        <w:tc>
          <w:tcPr>
            <w:tcW w:w="1776" w:type="dxa"/>
            <w:shd w:val="clear" w:color="auto" w:fill="auto"/>
            <w:noWrap/>
            <w:vAlign w:val="center"/>
          </w:tcPr>
          <w:p>
            <w:pPr>
              <w:widowControl/>
              <w:snapToGrid w:val="0"/>
              <w:spacing w:line="640" w:lineRule="exact"/>
              <w:jc w:val="center"/>
              <w:rPr>
                <w:b/>
                <w:bCs/>
                <w:kern w:val="0"/>
                <w:sz w:val="24"/>
              </w:rPr>
            </w:pPr>
            <w:r>
              <w:rPr>
                <w:b/>
                <w:bCs/>
                <w:kern w:val="0"/>
                <w:sz w:val="24"/>
              </w:rPr>
              <w:t>三级指标</w:t>
            </w:r>
          </w:p>
        </w:tc>
        <w:tc>
          <w:tcPr>
            <w:tcW w:w="876" w:type="dxa"/>
            <w:shd w:val="clear" w:color="auto" w:fill="auto"/>
            <w:noWrap/>
            <w:vAlign w:val="center"/>
          </w:tcPr>
          <w:p>
            <w:pPr>
              <w:widowControl/>
              <w:snapToGrid w:val="0"/>
              <w:spacing w:line="640" w:lineRule="exact"/>
              <w:jc w:val="center"/>
              <w:rPr>
                <w:b/>
                <w:bCs/>
                <w:kern w:val="0"/>
                <w:sz w:val="24"/>
              </w:rPr>
            </w:pPr>
            <w:r>
              <w:rPr>
                <w:b/>
                <w:bCs/>
                <w:kern w:val="0"/>
                <w:sz w:val="24"/>
              </w:rPr>
              <w:t>分值</w:t>
            </w:r>
          </w:p>
        </w:tc>
        <w:tc>
          <w:tcPr>
            <w:tcW w:w="840" w:type="dxa"/>
            <w:shd w:val="clear" w:color="auto" w:fill="auto"/>
            <w:noWrap/>
            <w:vAlign w:val="center"/>
          </w:tcPr>
          <w:p>
            <w:pPr>
              <w:widowControl/>
              <w:snapToGrid w:val="0"/>
              <w:spacing w:line="640" w:lineRule="exact"/>
              <w:jc w:val="center"/>
              <w:rPr>
                <w:b/>
                <w:bCs/>
                <w:kern w:val="0"/>
                <w:sz w:val="24"/>
              </w:rPr>
            </w:pPr>
            <w:r>
              <w:rPr>
                <w:b/>
                <w:bCs/>
                <w:kern w:val="0"/>
                <w:sz w:val="24"/>
              </w:rPr>
              <w:t>得分</w:t>
            </w:r>
          </w:p>
        </w:tc>
        <w:tc>
          <w:tcPr>
            <w:tcW w:w="2340" w:type="dxa"/>
            <w:shd w:val="clear" w:color="auto" w:fill="auto"/>
            <w:noWrap/>
            <w:vAlign w:val="center"/>
          </w:tcPr>
          <w:p>
            <w:pPr>
              <w:widowControl/>
              <w:snapToGrid w:val="0"/>
              <w:spacing w:line="640" w:lineRule="exact"/>
              <w:jc w:val="center"/>
              <w:rPr>
                <w:b/>
                <w:bCs/>
                <w:kern w:val="0"/>
                <w:sz w:val="24"/>
              </w:rPr>
            </w:pPr>
            <w:r>
              <w:rPr>
                <w:rFonts w:hint="eastAsia"/>
                <w:b/>
                <w:bCs/>
                <w:kern w:val="0"/>
                <w:sz w:val="24"/>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8" w:type="dxa"/>
            <w:vMerge w:val="restart"/>
            <w:shd w:val="clear" w:color="auto" w:fill="auto"/>
            <w:noWrap/>
            <w:vAlign w:val="center"/>
          </w:tcPr>
          <w:p>
            <w:pPr>
              <w:widowControl/>
              <w:snapToGrid w:val="0"/>
              <w:spacing w:line="640" w:lineRule="exact"/>
              <w:jc w:val="center"/>
              <w:rPr>
                <w:kern w:val="0"/>
                <w:szCs w:val="21"/>
              </w:rPr>
            </w:pPr>
            <w:r>
              <w:rPr>
                <w:rFonts w:hint="eastAsia"/>
                <w:kern w:val="0"/>
                <w:szCs w:val="21"/>
              </w:rPr>
              <w:t>通用指标（30/30分）</w:t>
            </w:r>
          </w:p>
        </w:tc>
        <w:tc>
          <w:tcPr>
            <w:tcW w:w="1500" w:type="dxa"/>
            <w:vMerge w:val="restart"/>
            <w:shd w:val="clear" w:color="auto" w:fill="auto"/>
            <w:noWrap/>
            <w:vAlign w:val="center"/>
          </w:tcPr>
          <w:p>
            <w:pPr>
              <w:widowControl/>
              <w:snapToGrid w:val="0"/>
              <w:spacing w:line="640" w:lineRule="exact"/>
              <w:jc w:val="center"/>
              <w:rPr>
                <w:b/>
                <w:bCs/>
                <w:kern w:val="0"/>
                <w:szCs w:val="21"/>
              </w:rPr>
            </w:pPr>
            <w:r>
              <w:rPr>
                <w:rFonts w:hint="eastAsia"/>
                <w:kern w:val="0"/>
                <w:szCs w:val="21"/>
              </w:rPr>
              <w:t>项目决策（8/8分）</w:t>
            </w: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程序严密</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08" w:type="dxa"/>
            <w:vMerge w:val="continue"/>
            <w:shd w:val="clear" w:color="auto" w:fill="auto"/>
            <w:noWrap/>
            <w:vAlign w:val="center"/>
          </w:tcPr>
          <w:p>
            <w:pPr>
              <w:widowControl/>
              <w:snapToGrid w:val="0"/>
              <w:spacing w:line="640" w:lineRule="exact"/>
              <w:jc w:val="left"/>
              <w:rPr>
                <w:kern w:val="0"/>
                <w:szCs w:val="21"/>
              </w:rPr>
            </w:pPr>
          </w:p>
        </w:tc>
        <w:tc>
          <w:tcPr>
            <w:tcW w:w="1500" w:type="dxa"/>
            <w:vMerge w:val="continue"/>
            <w:shd w:val="clear" w:color="auto" w:fill="auto"/>
            <w:noWrap/>
            <w:vAlign w:val="center"/>
          </w:tcPr>
          <w:p>
            <w:pPr>
              <w:widowControl/>
              <w:snapToGrid w:val="0"/>
              <w:spacing w:line="640" w:lineRule="exact"/>
              <w:jc w:val="left"/>
              <w:rPr>
                <w:b/>
                <w:bCs/>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规划合理</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restart"/>
            <w:shd w:val="clear" w:color="auto" w:fill="auto"/>
            <w:noWrap/>
            <w:vAlign w:val="center"/>
          </w:tcPr>
          <w:p>
            <w:pPr>
              <w:snapToGrid w:val="0"/>
              <w:spacing w:line="640" w:lineRule="exact"/>
              <w:jc w:val="center"/>
              <w:rPr>
                <w:kern w:val="0"/>
                <w:szCs w:val="21"/>
              </w:rPr>
            </w:pPr>
            <w:r>
              <w:rPr>
                <w:rFonts w:hint="eastAsia"/>
                <w:kern w:val="0"/>
                <w:szCs w:val="21"/>
              </w:rPr>
              <w:t>项目实施（12/12分）</w:t>
            </w: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分配合理</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tcPr>
          <w:p>
            <w:pPr>
              <w:snapToGrid w:val="0"/>
              <w:spacing w:line="640" w:lineRule="exact"/>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使用合规</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tcPr>
          <w:p>
            <w:pPr>
              <w:snapToGrid w:val="0"/>
              <w:spacing w:line="640" w:lineRule="exact"/>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执行有效</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restart"/>
            <w:shd w:val="clear" w:color="auto" w:fill="auto"/>
            <w:noWrap/>
            <w:vAlign w:val="center"/>
          </w:tcPr>
          <w:p>
            <w:pPr>
              <w:snapToGrid w:val="0"/>
              <w:spacing w:line="640" w:lineRule="exact"/>
              <w:jc w:val="center"/>
              <w:rPr>
                <w:kern w:val="0"/>
                <w:szCs w:val="21"/>
              </w:rPr>
            </w:pPr>
            <w:r>
              <w:rPr>
                <w:rFonts w:hint="eastAsia"/>
                <w:kern w:val="0"/>
                <w:szCs w:val="21"/>
              </w:rPr>
              <w:t>完成结果（10/10分）</w:t>
            </w: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预算完成</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vAlign w:val="center"/>
          </w:tcPr>
          <w:p>
            <w:pPr>
              <w:snapToGrid w:val="0"/>
              <w:spacing w:line="640" w:lineRule="exact"/>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目标完成</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4</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4</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vAlign w:val="center"/>
          </w:tcPr>
          <w:p>
            <w:pPr>
              <w:snapToGrid w:val="0"/>
              <w:spacing w:line="640" w:lineRule="exact"/>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违规记录</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2</w:t>
            </w:r>
          </w:p>
        </w:tc>
        <w:tc>
          <w:tcPr>
            <w:tcW w:w="840" w:type="dxa"/>
            <w:shd w:val="clear" w:color="auto" w:fill="auto"/>
            <w:noWrap/>
            <w:vAlign w:val="center"/>
          </w:tcPr>
          <w:p>
            <w:pPr>
              <w:widowControl/>
              <w:spacing w:line="640" w:lineRule="exact"/>
              <w:jc w:val="center"/>
              <w:rPr>
                <w:kern w:val="0"/>
                <w:szCs w:val="21"/>
              </w:rPr>
            </w:pPr>
            <w:r>
              <w:rPr>
                <w:kern w:val="0"/>
                <w:szCs w:val="21"/>
              </w:rPr>
              <w:t>2</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shd w:val="clear" w:color="auto" w:fill="auto"/>
            <w:noWrap/>
            <w:vAlign w:val="center"/>
          </w:tcPr>
          <w:p>
            <w:pPr>
              <w:snapToGrid w:val="0"/>
              <w:spacing w:line="640" w:lineRule="exact"/>
              <w:jc w:val="center"/>
              <w:rPr>
                <w:kern w:val="0"/>
                <w:szCs w:val="21"/>
              </w:rPr>
            </w:pPr>
            <w:r>
              <w:rPr>
                <w:rFonts w:hint="eastAsia"/>
                <w:kern w:val="0"/>
                <w:szCs w:val="21"/>
              </w:rPr>
              <w:t>共性指标（20/20分）</w:t>
            </w:r>
          </w:p>
        </w:tc>
        <w:tc>
          <w:tcPr>
            <w:tcW w:w="1500" w:type="dxa"/>
            <w:vMerge w:val="restart"/>
            <w:shd w:val="clear" w:color="auto" w:fill="auto"/>
            <w:noWrap/>
            <w:vAlign w:val="center"/>
          </w:tcPr>
          <w:p>
            <w:pPr>
              <w:snapToGrid w:val="0"/>
              <w:spacing w:line="640" w:lineRule="exact"/>
              <w:jc w:val="center"/>
              <w:rPr>
                <w:kern w:val="0"/>
                <w:szCs w:val="21"/>
              </w:rPr>
            </w:pPr>
            <w:r>
              <w:rPr>
                <w:rFonts w:hint="eastAsia"/>
                <w:kern w:val="0"/>
                <w:szCs w:val="21"/>
              </w:rPr>
              <w:t>项目效果</w:t>
            </w: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符合性</w:t>
            </w:r>
          </w:p>
        </w:tc>
        <w:tc>
          <w:tcPr>
            <w:tcW w:w="876" w:type="dxa"/>
            <w:shd w:val="clear" w:color="auto" w:fill="auto"/>
            <w:noWrap/>
            <w:vAlign w:val="center"/>
          </w:tcPr>
          <w:p>
            <w:pPr>
              <w:widowControl/>
              <w:snapToGrid w:val="0"/>
              <w:spacing w:line="640" w:lineRule="exact"/>
              <w:jc w:val="center"/>
              <w:rPr>
                <w:kern w:val="0"/>
                <w:szCs w:val="21"/>
              </w:rPr>
            </w:pPr>
            <w:r>
              <w:rPr>
                <w:kern w:val="0"/>
                <w:szCs w:val="21"/>
              </w:rPr>
              <w:t>1</w:t>
            </w:r>
            <w:r>
              <w:rPr>
                <w:rFonts w:hint="eastAsia"/>
                <w:kern w:val="0"/>
                <w:szCs w:val="21"/>
              </w:rPr>
              <w:t>0</w:t>
            </w:r>
          </w:p>
        </w:tc>
        <w:tc>
          <w:tcPr>
            <w:tcW w:w="840" w:type="dxa"/>
            <w:shd w:val="clear" w:color="auto" w:fill="auto"/>
            <w:noWrap/>
            <w:vAlign w:val="center"/>
          </w:tcPr>
          <w:p>
            <w:pPr>
              <w:widowControl/>
              <w:spacing w:line="640" w:lineRule="exact"/>
              <w:jc w:val="center"/>
              <w:rPr>
                <w:kern w:val="0"/>
                <w:szCs w:val="21"/>
              </w:rPr>
            </w:pPr>
            <w:r>
              <w:rPr>
                <w:kern w:val="0"/>
                <w:szCs w:val="21"/>
              </w:rPr>
              <w:t>1</w:t>
            </w:r>
            <w:r>
              <w:rPr>
                <w:rFonts w:hint="eastAsia"/>
                <w:kern w:val="0"/>
                <w:szCs w:val="21"/>
              </w:rPr>
              <w:t>0</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tcPr>
          <w:p>
            <w:pPr>
              <w:snapToGrid w:val="0"/>
              <w:spacing w:line="640" w:lineRule="exact"/>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成长性</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10</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10</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restart"/>
            <w:shd w:val="clear" w:color="auto" w:fill="auto"/>
            <w:noWrap/>
            <w:vAlign w:val="center"/>
          </w:tcPr>
          <w:p>
            <w:pPr>
              <w:snapToGrid w:val="0"/>
              <w:spacing w:line="640" w:lineRule="exact"/>
              <w:jc w:val="center"/>
              <w:rPr>
                <w:kern w:val="0"/>
                <w:szCs w:val="21"/>
              </w:rPr>
            </w:pPr>
            <w:r>
              <w:rPr>
                <w:rFonts w:hint="eastAsia"/>
                <w:kern w:val="0"/>
                <w:szCs w:val="21"/>
              </w:rPr>
              <w:t>特性指标（50/50分）</w:t>
            </w:r>
          </w:p>
        </w:tc>
        <w:tc>
          <w:tcPr>
            <w:tcW w:w="1500" w:type="dxa"/>
            <w:vMerge w:val="restart"/>
            <w:shd w:val="clear" w:color="auto" w:fill="auto"/>
            <w:noWrap/>
            <w:vAlign w:val="center"/>
          </w:tcPr>
          <w:p>
            <w:pPr>
              <w:snapToGrid w:val="0"/>
              <w:spacing w:line="640" w:lineRule="exact"/>
              <w:jc w:val="center"/>
              <w:rPr>
                <w:kern w:val="0"/>
                <w:szCs w:val="21"/>
              </w:rPr>
            </w:pPr>
            <w:r>
              <w:rPr>
                <w:kern w:val="0"/>
                <w:szCs w:val="21"/>
              </w:rPr>
              <w:t>经济效益</w:t>
            </w:r>
            <w:r>
              <w:rPr>
                <w:rFonts w:hint="eastAsia"/>
                <w:kern w:val="0"/>
                <w:szCs w:val="21"/>
              </w:rPr>
              <w:t>（20/20分）</w:t>
            </w: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销售</w:t>
            </w:r>
            <w:r>
              <w:rPr>
                <w:kern w:val="0"/>
                <w:szCs w:val="21"/>
              </w:rPr>
              <w:t>增长率</w:t>
            </w:r>
          </w:p>
        </w:tc>
        <w:tc>
          <w:tcPr>
            <w:tcW w:w="876" w:type="dxa"/>
            <w:shd w:val="clear" w:color="auto" w:fill="auto"/>
            <w:noWrap/>
            <w:vAlign w:val="center"/>
          </w:tcPr>
          <w:p>
            <w:pPr>
              <w:widowControl/>
              <w:snapToGrid w:val="0"/>
              <w:spacing w:line="640" w:lineRule="exact"/>
              <w:jc w:val="center"/>
              <w:rPr>
                <w:kern w:val="0"/>
                <w:szCs w:val="21"/>
              </w:rPr>
            </w:pPr>
            <w:r>
              <w:rPr>
                <w:kern w:val="0"/>
                <w:szCs w:val="21"/>
              </w:rPr>
              <w:t>10</w:t>
            </w:r>
          </w:p>
        </w:tc>
        <w:tc>
          <w:tcPr>
            <w:tcW w:w="840" w:type="dxa"/>
            <w:shd w:val="clear" w:color="auto" w:fill="auto"/>
            <w:noWrap/>
            <w:vAlign w:val="center"/>
          </w:tcPr>
          <w:p>
            <w:pPr>
              <w:widowControl/>
              <w:spacing w:line="640" w:lineRule="exact"/>
              <w:jc w:val="center"/>
              <w:rPr>
                <w:kern w:val="0"/>
                <w:szCs w:val="21"/>
              </w:rPr>
            </w:pPr>
            <w:r>
              <w:rPr>
                <w:kern w:val="0"/>
                <w:szCs w:val="21"/>
              </w:rPr>
              <w:t>9.</w:t>
            </w:r>
            <w:r>
              <w:rPr>
                <w:rFonts w:hint="eastAsia"/>
                <w:kern w:val="0"/>
                <w:szCs w:val="21"/>
              </w:rPr>
              <w:t>8</w:t>
            </w:r>
          </w:p>
        </w:tc>
        <w:tc>
          <w:tcPr>
            <w:tcW w:w="2340" w:type="dxa"/>
            <w:shd w:val="clear" w:color="auto" w:fill="auto"/>
            <w:noWrap/>
            <w:vAlign w:val="center"/>
          </w:tcPr>
          <w:p>
            <w:pPr>
              <w:widowControl/>
              <w:spacing w:line="360" w:lineRule="exact"/>
              <w:jc w:val="center"/>
              <w:rPr>
                <w:kern w:val="0"/>
                <w:szCs w:val="21"/>
              </w:rPr>
            </w:pPr>
            <w:r>
              <w:rPr>
                <w:rFonts w:hint="eastAsia"/>
                <w:kern w:val="0"/>
                <w:szCs w:val="21"/>
              </w:rPr>
              <w:t>安岳为农服务中心的销售带动作用有待进一步提升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tcPr>
          <w:p>
            <w:pPr>
              <w:snapToGrid w:val="0"/>
              <w:spacing w:line="640" w:lineRule="exact"/>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净利润增长率</w:t>
            </w:r>
          </w:p>
        </w:tc>
        <w:tc>
          <w:tcPr>
            <w:tcW w:w="876" w:type="dxa"/>
            <w:shd w:val="clear" w:color="auto" w:fill="auto"/>
            <w:noWrap/>
            <w:vAlign w:val="center"/>
          </w:tcPr>
          <w:p>
            <w:pPr>
              <w:widowControl/>
              <w:snapToGrid w:val="0"/>
              <w:spacing w:line="640" w:lineRule="exact"/>
              <w:jc w:val="center"/>
              <w:rPr>
                <w:kern w:val="0"/>
                <w:szCs w:val="21"/>
              </w:rPr>
            </w:pPr>
            <w:r>
              <w:rPr>
                <w:kern w:val="0"/>
                <w:szCs w:val="21"/>
              </w:rPr>
              <w:t>10</w:t>
            </w:r>
          </w:p>
        </w:tc>
        <w:tc>
          <w:tcPr>
            <w:tcW w:w="840" w:type="dxa"/>
            <w:shd w:val="clear" w:color="auto" w:fill="auto"/>
            <w:noWrap/>
            <w:vAlign w:val="center"/>
          </w:tcPr>
          <w:p>
            <w:pPr>
              <w:widowControl/>
              <w:spacing w:line="640" w:lineRule="exact"/>
              <w:jc w:val="center"/>
              <w:rPr>
                <w:kern w:val="0"/>
                <w:szCs w:val="21"/>
              </w:rPr>
            </w:pPr>
            <w:r>
              <w:rPr>
                <w:kern w:val="0"/>
                <w:szCs w:val="21"/>
              </w:rPr>
              <w:t>9</w:t>
            </w:r>
            <w:r>
              <w:rPr>
                <w:rFonts w:hint="eastAsia"/>
                <w:kern w:val="0"/>
                <w:szCs w:val="21"/>
              </w:rPr>
              <w:t>.8</w:t>
            </w:r>
          </w:p>
        </w:tc>
        <w:tc>
          <w:tcPr>
            <w:tcW w:w="2340" w:type="dxa"/>
            <w:shd w:val="clear" w:color="auto" w:fill="auto"/>
            <w:noWrap/>
            <w:vAlign w:val="center"/>
          </w:tcPr>
          <w:p>
            <w:pPr>
              <w:widowControl/>
              <w:spacing w:line="360" w:lineRule="exact"/>
              <w:jc w:val="center"/>
              <w:rPr>
                <w:kern w:val="0"/>
                <w:szCs w:val="21"/>
              </w:rPr>
            </w:pPr>
            <w:r>
              <w:rPr>
                <w:rFonts w:hint="eastAsia"/>
                <w:kern w:val="0"/>
                <w:szCs w:val="21"/>
              </w:rPr>
              <w:t>安岳为农服务中心的净利润增长带动作用有待进一步提升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restart"/>
            <w:shd w:val="clear" w:color="auto" w:fill="auto"/>
            <w:noWrap/>
            <w:vAlign w:val="center"/>
          </w:tcPr>
          <w:p>
            <w:pPr>
              <w:snapToGrid w:val="0"/>
              <w:spacing w:line="640" w:lineRule="exact"/>
              <w:jc w:val="center"/>
              <w:rPr>
                <w:kern w:val="0"/>
                <w:szCs w:val="21"/>
              </w:rPr>
            </w:pPr>
            <w:r>
              <w:rPr>
                <w:kern w:val="0"/>
                <w:szCs w:val="21"/>
              </w:rPr>
              <w:t>社会效益</w:t>
            </w:r>
            <w:r>
              <w:rPr>
                <w:rFonts w:hint="eastAsia"/>
                <w:kern w:val="0"/>
                <w:szCs w:val="21"/>
              </w:rPr>
              <w:t>（30/30分）</w:t>
            </w: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就业贡献率</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10</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10</w:t>
            </w:r>
          </w:p>
        </w:tc>
        <w:tc>
          <w:tcPr>
            <w:tcW w:w="2340" w:type="dxa"/>
            <w:shd w:val="clear" w:color="auto" w:fill="auto"/>
            <w:noWrap/>
            <w:vAlign w:val="center"/>
          </w:tcPr>
          <w:p>
            <w:pPr>
              <w:widowControl/>
              <w:spacing w:line="36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vAlign w:val="center"/>
          </w:tcPr>
          <w:p>
            <w:pPr>
              <w:snapToGrid w:val="0"/>
              <w:spacing w:line="640" w:lineRule="exact"/>
              <w:jc w:val="center"/>
              <w:rPr>
                <w:kern w:val="0"/>
                <w:szCs w:val="21"/>
              </w:rPr>
            </w:pPr>
          </w:p>
        </w:tc>
        <w:tc>
          <w:tcPr>
            <w:tcW w:w="1776" w:type="dxa"/>
            <w:shd w:val="clear" w:color="auto" w:fill="auto"/>
            <w:noWrap/>
            <w:vAlign w:val="center"/>
          </w:tcPr>
          <w:p>
            <w:pPr>
              <w:widowControl/>
              <w:snapToGrid w:val="0"/>
              <w:spacing w:line="640" w:lineRule="exact"/>
              <w:jc w:val="center"/>
              <w:rPr>
                <w:kern w:val="0"/>
                <w:szCs w:val="21"/>
              </w:rPr>
            </w:pPr>
            <w:r>
              <w:rPr>
                <w:rFonts w:hint="eastAsia"/>
                <w:kern w:val="0"/>
                <w:szCs w:val="21"/>
              </w:rPr>
              <w:t>社会贡献率</w:t>
            </w:r>
          </w:p>
        </w:tc>
        <w:tc>
          <w:tcPr>
            <w:tcW w:w="876" w:type="dxa"/>
            <w:shd w:val="clear" w:color="auto" w:fill="auto"/>
            <w:noWrap/>
            <w:vAlign w:val="center"/>
          </w:tcPr>
          <w:p>
            <w:pPr>
              <w:widowControl/>
              <w:snapToGrid w:val="0"/>
              <w:spacing w:line="640" w:lineRule="exact"/>
              <w:jc w:val="center"/>
              <w:rPr>
                <w:kern w:val="0"/>
                <w:szCs w:val="21"/>
              </w:rPr>
            </w:pPr>
            <w:r>
              <w:rPr>
                <w:rFonts w:hint="eastAsia"/>
                <w:kern w:val="0"/>
                <w:szCs w:val="21"/>
              </w:rPr>
              <w:t>10</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10</w:t>
            </w:r>
          </w:p>
        </w:tc>
        <w:tc>
          <w:tcPr>
            <w:tcW w:w="2340" w:type="dxa"/>
            <w:shd w:val="clear" w:color="auto" w:fill="auto"/>
            <w:noWrap/>
            <w:vAlign w:val="center"/>
          </w:tcPr>
          <w:p>
            <w:pPr>
              <w:widowControl/>
              <w:spacing w:line="360" w:lineRule="exact"/>
              <w:jc w:val="center"/>
              <w:rPr>
                <w:kern w:val="0"/>
                <w:szCs w:val="21"/>
              </w:rPr>
            </w:pPr>
            <w:r>
              <w:rPr>
                <w:rFonts w:hint="eastAsia"/>
                <w:kern w:val="0"/>
                <w:szCs w:val="21"/>
              </w:rPr>
              <w:t>依托为农服务中心对农资供应、农技服务、土地托管的带动作用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8" w:type="dxa"/>
            <w:vMerge w:val="continue"/>
            <w:shd w:val="clear" w:color="auto" w:fill="auto"/>
            <w:noWrap/>
          </w:tcPr>
          <w:p>
            <w:pPr>
              <w:snapToGrid w:val="0"/>
              <w:spacing w:line="640" w:lineRule="exact"/>
              <w:rPr>
                <w:kern w:val="0"/>
                <w:szCs w:val="21"/>
              </w:rPr>
            </w:pPr>
          </w:p>
        </w:tc>
        <w:tc>
          <w:tcPr>
            <w:tcW w:w="1500" w:type="dxa"/>
            <w:vMerge w:val="continue"/>
            <w:shd w:val="clear" w:color="auto" w:fill="auto"/>
            <w:noWrap/>
            <w:vAlign w:val="center"/>
          </w:tcPr>
          <w:p>
            <w:pPr>
              <w:snapToGrid w:val="0"/>
              <w:spacing w:line="640" w:lineRule="exact"/>
              <w:jc w:val="center"/>
              <w:rPr>
                <w:kern w:val="0"/>
                <w:szCs w:val="21"/>
              </w:rPr>
            </w:pPr>
          </w:p>
        </w:tc>
        <w:tc>
          <w:tcPr>
            <w:tcW w:w="1776" w:type="dxa"/>
            <w:shd w:val="clear" w:color="auto" w:fill="auto"/>
            <w:noWrap/>
            <w:vAlign w:val="center"/>
          </w:tcPr>
          <w:p>
            <w:pPr>
              <w:widowControl/>
              <w:spacing w:line="360" w:lineRule="exact"/>
              <w:jc w:val="center"/>
              <w:rPr>
                <w:kern w:val="0"/>
                <w:szCs w:val="21"/>
              </w:rPr>
            </w:pPr>
            <w:r>
              <w:rPr>
                <w:rFonts w:hint="eastAsia"/>
                <w:kern w:val="0"/>
                <w:szCs w:val="21"/>
              </w:rPr>
              <w:t>对农资供应的保障作用</w:t>
            </w:r>
          </w:p>
        </w:tc>
        <w:tc>
          <w:tcPr>
            <w:tcW w:w="876" w:type="dxa"/>
            <w:shd w:val="clear" w:color="auto" w:fill="auto"/>
            <w:noWrap/>
            <w:vAlign w:val="center"/>
          </w:tcPr>
          <w:p>
            <w:pPr>
              <w:widowControl/>
              <w:snapToGrid w:val="0"/>
              <w:spacing w:line="640" w:lineRule="exact"/>
              <w:jc w:val="center"/>
              <w:rPr>
                <w:kern w:val="0"/>
                <w:szCs w:val="21"/>
              </w:rPr>
            </w:pPr>
            <w:r>
              <w:rPr>
                <w:kern w:val="0"/>
                <w:szCs w:val="21"/>
              </w:rPr>
              <w:t>10</w:t>
            </w:r>
          </w:p>
        </w:tc>
        <w:tc>
          <w:tcPr>
            <w:tcW w:w="840" w:type="dxa"/>
            <w:shd w:val="clear" w:color="auto" w:fill="auto"/>
            <w:noWrap/>
            <w:vAlign w:val="center"/>
          </w:tcPr>
          <w:p>
            <w:pPr>
              <w:widowControl/>
              <w:spacing w:line="640" w:lineRule="exact"/>
              <w:jc w:val="center"/>
              <w:rPr>
                <w:kern w:val="0"/>
                <w:szCs w:val="21"/>
              </w:rPr>
            </w:pPr>
            <w:r>
              <w:rPr>
                <w:rFonts w:hint="eastAsia"/>
                <w:kern w:val="0"/>
                <w:szCs w:val="21"/>
              </w:rPr>
              <w:t>10</w:t>
            </w:r>
          </w:p>
        </w:tc>
        <w:tc>
          <w:tcPr>
            <w:tcW w:w="2340" w:type="dxa"/>
            <w:shd w:val="clear" w:color="auto" w:fill="auto"/>
            <w:noWrap/>
            <w:vAlign w:val="center"/>
          </w:tcPr>
          <w:p>
            <w:pPr>
              <w:widowControl/>
              <w:spacing w:line="64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584" w:type="dxa"/>
            <w:gridSpan w:val="3"/>
            <w:shd w:val="clear" w:color="auto" w:fill="auto"/>
            <w:noWrap/>
            <w:vAlign w:val="center"/>
          </w:tcPr>
          <w:p>
            <w:pPr>
              <w:widowControl/>
              <w:snapToGrid w:val="0"/>
              <w:spacing w:line="640" w:lineRule="exact"/>
              <w:jc w:val="center"/>
              <w:rPr>
                <w:b/>
                <w:kern w:val="0"/>
                <w:szCs w:val="21"/>
              </w:rPr>
            </w:pPr>
            <w:r>
              <w:rPr>
                <w:b/>
                <w:kern w:val="0"/>
                <w:szCs w:val="21"/>
              </w:rPr>
              <w:t>总分</w:t>
            </w:r>
          </w:p>
        </w:tc>
        <w:tc>
          <w:tcPr>
            <w:tcW w:w="876" w:type="dxa"/>
            <w:shd w:val="clear" w:color="auto" w:fill="auto"/>
            <w:noWrap/>
            <w:vAlign w:val="center"/>
          </w:tcPr>
          <w:p>
            <w:pPr>
              <w:widowControl/>
              <w:spacing w:line="640" w:lineRule="exact"/>
              <w:jc w:val="center"/>
              <w:rPr>
                <w:b/>
                <w:kern w:val="0"/>
                <w:szCs w:val="21"/>
              </w:rPr>
            </w:pPr>
            <w:r>
              <w:rPr>
                <w:b/>
                <w:kern w:val="0"/>
                <w:szCs w:val="21"/>
              </w:rPr>
              <w:t>100</w:t>
            </w:r>
          </w:p>
        </w:tc>
        <w:tc>
          <w:tcPr>
            <w:tcW w:w="840" w:type="dxa"/>
            <w:shd w:val="clear" w:color="auto" w:fill="auto"/>
            <w:noWrap/>
            <w:vAlign w:val="center"/>
          </w:tcPr>
          <w:p>
            <w:pPr>
              <w:widowControl/>
              <w:spacing w:line="640" w:lineRule="exact"/>
              <w:jc w:val="center"/>
              <w:rPr>
                <w:b/>
                <w:kern w:val="0"/>
                <w:szCs w:val="21"/>
              </w:rPr>
            </w:pPr>
            <w:r>
              <w:rPr>
                <w:b/>
                <w:kern w:val="0"/>
                <w:szCs w:val="21"/>
              </w:rPr>
              <w:t>9</w:t>
            </w:r>
            <w:r>
              <w:rPr>
                <w:rFonts w:hint="eastAsia"/>
                <w:b/>
                <w:kern w:val="0"/>
                <w:szCs w:val="21"/>
              </w:rPr>
              <w:t>9.6</w:t>
            </w:r>
            <w:r>
              <w:rPr>
                <w:b/>
                <w:kern w:val="0"/>
                <w:szCs w:val="21"/>
              </w:rPr>
              <w:fldChar w:fldCharType="begin"/>
            </w:r>
            <w:r>
              <w:rPr>
                <w:b/>
                <w:kern w:val="0"/>
                <w:szCs w:val="21"/>
              </w:rPr>
              <w:instrText xml:space="preserve"> =SUM(ABOVE) </w:instrText>
            </w:r>
            <w:r>
              <w:rPr>
                <w:b/>
                <w:kern w:val="0"/>
                <w:szCs w:val="21"/>
              </w:rPr>
              <w:fldChar w:fldCharType="end"/>
            </w:r>
          </w:p>
        </w:tc>
        <w:tc>
          <w:tcPr>
            <w:tcW w:w="2340" w:type="dxa"/>
            <w:shd w:val="clear" w:color="auto" w:fill="auto"/>
            <w:noWrap/>
            <w:vAlign w:val="center"/>
          </w:tcPr>
          <w:p>
            <w:pPr>
              <w:widowControl/>
              <w:spacing w:line="640" w:lineRule="exact"/>
              <w:jc w:val="center"/>
              <w:rPr>
                <w:b/>
                <w:kern w:val="0"/>
                <w:szCs w:val="21"/>
              </w:rPr>
            </w:pPr>
          </w:p>
        </w:tc>
      </w:tr>
    </w:tbl>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四、绩效评价分析</w:t>
      </w:r>
    </w:p>
    <w:p>
      <w:pPr>
        <w:adjustRightInd w:val="0"/>
        <w:snapToGrid w:val="0"/>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（一）项目决策情况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淡储化肥示范及有关文件指导意见，为保障我省农业生产安全，平抑价格，缓解化肥常年生产，季节使用的矛盾；保障特殊时期对边远山区、民族地区和突发自然灾害地区的救灾、救助需要，我省于2004年经省政府第52次常务会议研究决定，建立了省级化肥储备制度，储备工作由省供销社负责，财政厅做好财政贴息的核定和拨付工作，相关政策一直延续至今。为了做好省级化肥、农药、棉花储备工作，加强、规范相关储备管理，2018年6月15日，四川省供销合作社联合社印发《省级化肥储备管理暂行办法》、《省级农药储备管理暂行办法》、《省级棉花储备管理暂行办法》（川供经〔2018〕138号）三个储备管理办法。</w:t>
      </w:r>
    </w:p>
    <w:p>
      <w:pPr>
        <w:numPr>
          <w:ilvl w:val="0"/>
          <w:numId w:val="2"/>
        </w:numPr>
        <w:adjustRightInd w:val="0"/>
        <w:snapToGrid w:val="0"/>
        <w:spacing w:line="560" w:lineRule="exact"/>
        <w:ind w:firstLine="643" w:firstLineChars="200"/>
        <w:rPr>
          <w:rFonts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项目管理情况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邦力达公司于2019年10月26日向公司各部门、分子公司下达储备计划，在川北、川南、川西、川东、川中合理布局储备计划，并向各分子公司提供资金支持。</w:t>
      </w:r>
    </w:p>
    <w:p>
      <w:pPr>
        <w:adjustRightInd w:val="0"/>
        <w:snapToGrid w:val="0"/>
        <w:spacing w:line="560" w:lineRule="exact"/>
        <w:ind w:firstLine="643" w:firstLineChars="200"/>
        <w:rPr>
          <w:rFonts w:ascii="楷体_GB2312" w:hAnsi="宋体" w:eastAsia="楷体_GB2312"/>
          <w:b/>
          <w:sz w:val="32"/>
          <w:szCs w:val="32"/>
        </w:rPr>
      </w:pPr>
      <w:r>
        <w:rPr>
          <w:rFonts w:hint="eastAsia" w:ascii="楷体_GB2312" w:hAnsi="宋体" w:eastAsia="楷体_GB2312"/>
          <w:b/>
          <w:sz w:val="32"/>
          <w:szCs w:val="32"/>
        </w:rPr>
        <w:t>（三）项目产出情况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11月至2020年4月储备期间，邦力达公司累计调入量为128.18万吨，月平均库存量为22.04万吨。平均资金占用50,632.31万元，按照贷款加权平均年利率4.98%计算，占用资金利息共计1,260.75万元。在储备期间完成了2020年的省级化肥储备任务。</w:t>
      </w:r>
    </w:p>
    <w:p>
      <w:pPr>
        <w:adjustRightInd w:val="0"/>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（四）项目效益情况。</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实践证明，省级储备政策是政府在市场经济条件下运用经济手段调控市场的有效手段，对平抑农资市场价格、保护种粮农民利益起到了积极作用。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起到了平抑化肥市场价格的作用。实行淡季储备补贴的政策，促使邦力达公司坚持从农民群众的利益出发，严格执行国家和省有关部门规定的批零差率，不随意涨价，并建立和完善价格内控机制、通过依托农资连锁配送经营网络减少流通环节、降低损耗等措施最大限度地减少农资流通成本，积极为农民提供物美价廉的农资商品。</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效地保障边、少地区农业生产用肥。今年，针对化肥高位运行，市场波动大，成本上升的特点，公司在第一时间作出反应，一方面发挥邦力达农资连锁的网络优势，提早调运各种储备化肥到攀西等边、少地区储备，保障了边、少地区春耕用肥的供应，为助农增收作出了贡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（三）保护了农民种粮积极性。省级储备政策不仅调动了农民的种粮积极性，而且还密切了党群关系、干群关系，把党中央扶持“三农”、促农增收政策落实到了实处，其意义深远。</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五、存在主要问题</w:t>
      </w:r>
    </w:p>
    <w:p>
      <w:pPr>
        <w:widowControl/>
        <w:adjustRightInd w:val="0"/>
        <w:snapToGrid w:val="0"/>
        <w:spacing w:line="560" w:lineRule="exact"/>
        <w:ind w:firstLine="633" w:firstLineChars="198"/>
        <w:jc w:val="left"/>
        <w:rPr>
          <w:rFonts w:ascii="仿宋_GB2312" w:hAnsi="仿宋" w:eastAsia="仿宋_GB2312"/>
          <w:bCs/>
          <w:sz w:val="32"/>
          <w:szCs w:val="32"/>
        </w:rPr>
      </w:pPr>
      <w:r>
        <w:rPr>
          <w:rFonts w:hint="eastAsia" w:ascii="仿宋_GB2312" w:hAnsi="仿宋" w:eastAsia="仿宋_GB2312"/>
          <w:bCs/>
          <w:sz w:val="32"/>
          <w:szCs w:val="32"/>
        </w:rPr>
        <w:t>邦力达公司在省级化肥储备期间，从省内外工厂采购化肥量较大，通过多年储备化肥总结的经验，化肥储备必须与采购销售经营活动紧密结合，包括采购时点的把握，根据各品种的供求关系，实时调整储备化肥品种，规避较大的价差损失。</w:t>
      </w:r>
    </w:p>
    <w:p>
      <w:pPr>
        <w:widowControl/>
        <w:adjustRightInd w:val="0"/>
        <w:snapToGrid w:val="0"/>
        <w:spacing w:line="560" w:lineRule="exact"/>
        <w:ind w:firstLine="633" w:firstLineChars="198"/>
        <w:jc w:val="left"/>
        <w:rPr>
          <w:rFonts w:ascii="仿宋_GB2312" w:hAnsi="仿宋" w:eastAsia="仿宋_GB2312"/>
          <w:sz w:val="32"/>
          <w:szCs w:val="32"/>
        </w:rPr>
      </w:pPr>
      <w:r>
        <w:rPr>
          <w:rFonts w:hint="eastAsia" w:ascii="仿宋_GB2312" w:hAnsi="仿宋" w:eastAsia="仿宋_GB2312"/>
          <w:sz w:val="32"/>
          <w:szCs w:val="32"/>
        </w:rPr>
        <w:t>化肥储备工作对公司盈利能力的提升效果存在一定的差距，有机紧密结合需要不断加强。</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六、下一步工作安排</w:t>
      </w:r>
    </w:p>
    <w:p>
      <w:pPr>
        <w:widowControl/>
        <w:adjustRightInd w:val="0"/>
        <w:snapToGrid w:val="0"/>
        <w:spacing w:line="560" w:lineRule="exact"/>
        <w:ind w:firstLine="633" w:firstLineChars="198"/>
        <w:jc w:val="left"/>
        <w:rPr>
          <w:rFonts w:ascii="仿宋_GB2312" w:hAnsi="仿宋" w:eastAsia="仿宋_GB2312"/>
          <w:sz w:val="32"/>
          <w:szCs w:val="32"/>
        </w:rPr>
      </w:pPr>
      <w:r>
        <w:rPr>
          <w:rFonts w:hint="eastAsia" w:ascii="仿宋_GB2312" w:hAnsi="仿宋" w:eastAsia="仿宋_GB2312"/>
          <w:sz w:val="32"/>
          <w:szCs w:val="32"/>
        </w:rPr>
        <w:t>邦力达公司将优化配置“人、财、物”的优势资源，充分研判市场行情，做好采购、发运和销售各环节工作，做深、做细、做实终端网络市场，既圆满完成省级储备任务，又提升资产的运行效率，完成公司年度各项经济指标，确保股东价值最大化。</w:t>
      </w:r>
    </w:p>
    <w:p>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七、相关措施建议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综合来看，我省省级化肥储备主要存在以下几方面问题：一是随着新农业的崛起，农业产业化正成为现代农业加速发展的重要推动因素，并逐渐成为现代农业生产经营服务的主体，农业市场需求正在发生巨大变化，化肥行业正经历巨大变革。储备随着宏观市场的变化，在价格波动较大且整体大幅上涨的情况下，企业承担的风险越来越大。建议不断完善化肥淡储方案，操作更加到位、合理；保证承储企业的稳定性，保证化肥淡储稳定有序进行。二是与国家层面的“化肥淡季商业储备”、“钾肥国家储备”及其它省份的省级储备相比，省储相关补贴标准及额度一直未作调整，资金投放较少，每年给予承储企业的补贴金额远远低于企业的实际成本支出，特别是在当前整体物价水平上涨，仓储、人工等综合费用增幅巨大的情况下。建议依据省级化肥储备标的量30万吨，按10元/吨的营运费用补贴公司。</w:t>
      </w:r>
    </w:p>
    <w:p>
      <w:pPr>
        <w:pStyle w:val="2"/>
        <w:spacing w:before="93"/>
        <w:rPr>
          <w:rFonts w:hAnsi="仿宋"/>
          <w:sz w:val="32"/>
          <w:szCs w:val="32"/>
        </w:rPr>
      </w:pPr>
    </w:p>
    <w:p>
      <w:pPr>
        <w:pStyle w:val="2"/>
        <w:spacing w:before="93"/>
        <w:rPr>
          <w:rFonts w:hAnsi="仿宋"/>
          <w:sz w:val="32"/>
          <w:szCs w:val="32"/>
        </w:rPr>
      </w:pPr>
    </w:p>
    <w:p>
      <w:pPr>
        <w:pStyle w:val="2"/>
        <w:spacing w:before="93"/>
        <w:rPr>
          <w:rFonts w:hAnsi="仿宋"/>
          <w:sz w:val="32"/>
          <w:szCs w:val="32"/>
        </w:rPr>
      </w:pPr>
    </w:p>
    <w:p>
      <w:pPr>
        <w:pStyle w:val="2"/>
        <w:spacing w:before="93"/>
        <w:rPr>
          <w:rFonts w:hAnsi="仿宋"/>
          <w:sz w:val="32"/>
          <w:szCs w:val="32"/>
        </w:rPr>
      </w:pPr>
    </w:p>
    <w:p>
      <w:pPr>
        <w:spacing w:line="580" w:lineRule="exact"/>
        <w:jc w:val="center"/>
        <w:outlineLvl w:val="0"/>
        <w:rPr>
          <w:rFonts w:ascii="仿宋_GB2312" w:hAnsi="仿宋_GB2312" w:eastAsia="仿宋_GB2312" w:cs="仿宋_GB2312"/>
          <w:color w:val="000000"/>
          <w:sz w:val="32"/>
          <w:szCs w:val="32"/>
        </w:rPr>
      </w:pPr>
      <w:bookmarkStart w:id="55" w:name="_Toc15396618"/>
      <w:r>
        <w:rPr>
          <w:rFonts w:hint="eastAsia" w:ascii="黑体" w:hAnsi="黑体" w:eastAsia="黑体" w:cs="黑体"/>
          <w:color w:val="000000"/>
          <w:sz w:val="44"/>
          <w:szCs w:val="44"/>
        </w:rPr>
        <w:t>第</w:t>
      </w:r>
      <w:r>
        <w:rPr>
          <w:rStyle w:val="27"/>
          <w:rFonts w:hint="eastAsia" w:ascii="黑体" w:hAnsi="黑体" w:eastAsia="黑体" w:cs="黑体"/>
          <w:b w:val="0"/>
        </w:rPr>
        <w:t>五部分 附表</w:t>
      </w:r>
      <w:bookmarkEnd w:id="54"/>
      <w:bookmarkEnd w:id="55"/>
      <w:bookmarkStart w:id="56" w:name="_Toc15396619"/>
    </w:p>
    <w:p>
      <w:pPr>
        <w:pStyle w:val="4"/>
        <w:adjustRightInd w:val="0"/>
        <w:snapToGrid w:val="0"/>
        <w:spacing w:before="0" w:after="0" w:line="560" w:lineRule="exact"/>
        <w:rPr>
          <w:rFonts w:ascii="仿宋_GB2312" w:hAnsi="仿宋_GB2312" w:eastAsia="仿宋_GB2312" w:cs="仿宋_GB2312"/>
          <w:b w:val="0"/>
          <w:color w:val="000000"/>
        </w:rPr>
      </w:pPr>
    </w:p>
    <w:p>
      <w:pPr>
        <w:pStyle w:val="4"/>
        <w:adjustRightInd w:val="0"/>
        <w:snapToGrid w:val="0"/>
        <w:spacing w:before="0" w:after="0" w:line="560" w:lineRule="exact"/>
        <w:rPr>
          <w:rFonts w:ascii="仿宋_GB2312" w:hAnsi="仿宋_GB2312" w:eastAsia="仿宋_GB2312" w:cs="仿宋_GB2312"/>
          <w:color w:val="000000"/>
        </w:rPr>
      </w:pPr>
      <w:r>
        <w:rPr>
          <w:rFonts w:hint="eastAsia" w:ascii="仿宋_GB2312" w:hAnsi="仿宋_GB2312" w:eastAsia="仿宋_GB2312" w:cs="仿宋_GB2312"/>
          <w:b w:val="0"/>
          <w:color w:val="000000"/>
        </w:rPr>
        <w:t>一、收</w:t>
      </w:r>
      <w:r>
        <w:rPr>
          <w:rStyle w:val="28"/>
          <w:rFonts w:hint="eastAsia" w:ascii="仿宋_GB2312" w:hAnsi="仿宋_GB2312" w:eastAsia="仿宋_GB2312" w:cs="仿宋_GB2312"/>
          <w:b w:val="0"/>
          <w:bCs w:val="0"/>
        </w:rPr>
        <w:t>入支出决算总表</w:t>
      </w:r>
      <w:bookmarkEnd w:id="56"/>
    </w:p>
    <w:p>
      <w:pPr>
        <w:pStyle w:val="4"/>
        <w:adjustRightInd w:val="0"/>
        <w:snapToGrid w:val="0"/>
        <w:spacing w:before="0" w:after="0" w:line="560" w:lineRule="exact"/>
        <w:rPr>
          <w:rFonts w:ascii="仿宋_GB2312" w:hAnsi="仿宋_GB2312" w:eastAsia="仿宋_GB2312" w:cs="仿宋_GB2312"/>
          <w:color w:val="000000"/>
        </w:rPr>
      </w:pPr>
      <w:bookmarkStart w:id="57" w:name="_Toc15396620"/>
      <w:r>
        <w:rPr>
          <w:rFonts w:hint="eastAsia" w:ascii="仿宋_GB2312" w:hAnsi="仿宋_GB2312" w:eastAsia="仿宋_GB2312" w:cs="仿宋_GB2312"/>
          <w:b w:val="0"/>
          <w:color w:val="000000"/>
        </w:rPr>
        <w:t>二、收</w:t>
      </w:r>
      <w:r>
        <w:rPr>
          <w:rStyle w:val="28"/>
          <w:rFonts w:hint="eastAsia" w:ascii="仿宋_GB2312" w:hAnsi="仿宋_GB2312" w:eastAsia="仿宋_GB2312" w:cs="仿宋_GB2312"/>
          <w:b w:val="0"/>
          <w:bCs w:val="0"/>
        </w:rPr>
        <w:t>入决算表</w:t>
      </w:r>
      <w:bookmarkEnd w:id="57"/>
    </w:p>
    <w:p>
      <w:pPr>
        <w:pStyle w:val="4"/>
        <w:adjustRightInd w:val="0"/>
        <w:snapToGrid w:val="0"/>
        <w:spacing w:before="0" w:after="0" w:line="560" w:lineRule="exact"/>
        <w:rPr>
          <w:rFonts w:ascii="仿宋_GB2312" w:hAnsi="仿宋_GB2312" w:eastAsia="仿宋_GB2312" w:cs="仿宋_GB2312"/>
          <w:color w:val="000000"/>
        </w:rPr>
      </w:pPr>
      <w:bookmarkStart w:id="58" w:name="_Toc15396621"/>
      <w:r>
        <w:rPr>
          <w:rStyle w:val="28"/>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8"/>
          <w:rFonts w:hint="eastAsia" w:ascii="仿宋_GB2312" w:hAnsi="仿宋_GB2312" w:eastAsia="仿宋_GB2312" w:cs="仿宋_GB2312"/>
          <w:b w:val="0"/>
          <w:bCs w:val="0"/>
        </w:rPr>
        <w:t>出决算表</w:t>
      </w:r>
      <w:bookmarkEnd w:id="58"/>
    </w:p>
    <w:p>
      <w:pPr>
        <w:pStyle w:val="4"/>
        <w:adjustRightInd w:val="0"/>
        <w:snapToGrid w:val="0"/>
        <w:spacing w:before="0" w:after="0" w:line="560" w:lineRule="exact"/>
        <w:rPr>
          <w:rFonts w:ascii="仿宋_GB2312" w:hAnsi="仿宋_GB2312" w:eastAsia="仿宋_GB2312" w:cs="仿宋_GB2312"/>
          <w:b w:val="0"/>
          <w:color w:val="000000"/>
        </w:rPr>
      </w:pPr>
      <w:bookmarkStart w:id="59" w:name="_Toc15396622"/>
      <w:r>
        <w:rPr>
          <w:rStyle w:val="28"/>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8"/>
          <w:rFonts w:hint="eastAsia" w:ascii="仿宋_GB2312" w:hAnsi="仿宋_GB2312" w:eastAsia="仿宋_GB2312" w:cs="仿宋_GB2312"/>
          <w:b w:val="0"/>
          <w:bCs w:val="0"/>
        </w:rPr>
        <w:t>政拨款收入支出决算总表</w:t>
      </w:r>
      <w:bookmarkEnd w:id="59"/>
    </w:p>
    <w:p>
      <w:pPr>
        <w:pStyle w:val="4"/>
        <w:adjustRightInd w:val="0"/>
        <w:snapToGrid w:val="0"/>
        <w:spacing w:before="0" w:after="0" w:line="560" w:lineRule="exact"/>
        <w:rPr>
          <w:rStyle w:val="28"/>
          <w:rFonts w:ascii="仿宋_GB2312" w:hAnsi="仿宋_GB2312" w:eastAsia="仿宋_GB2312" w:cs="仿宋_GB2312"/>
          <w:b w:val="0"/>
          <w:bCs w:val="0"/>
        </w:rPr>
      </w:pPr>
      <w:bookmarkStart w:id="60" w:name="_Toc15396623"/>
      <w:r>
        <w:rPr>
          <w:rStyle w:val="28"/>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8"/>
          <w:rFonts w:hint="eastAsia" w:ascii="仿宋_GB2312" w:hAnsi="仿宋_GB2312" w:eastAsia="仿宋_GB2312" w:cs="仿宋_GB2312"/>
          <w:b w:val="0"/>
          <w:bCs w:val="0"/>
        </w:rPr>
        <w:t>政拨款支出决算明细表</w:t>
      </w:r>
      <w:bookmarkEnd w:id="60"/>
      <w:bookmarkStart w:id="61" w:name="_Toc15396624"/>
    </w:p>
    <w:p>
      <w:pPr>
        <w:pStyle w:val="4"/>
        <w:adjustRightInd w:val="0"/>
        <w:snapToGrid w:val="0"/>
        <w:spacing w:before="0" w:after="0" w:line="560" w:lineRule="exact"/>
        <w:rPr>
          <w:rFonts w:ascii="仿宋_GB2312" w:hAnsi="仿宋_GB2312" w:eastAsia="仿宋_GB2312" w:cs="仿宋_GB2312"/>
          <w:color w:val="000000"/>
        </w:rPr>
      </w:pPr>
      <w:r>
        <w:rPr>
          <w:rStyle w:val="28"/>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般公共预算财政拨款支出决算表</w:t>
      </w:r>
      <w:bookmarkEnd w:id="61"/>
    </w:p>
    <w:p>
      <w:pPr>
        <w:pStyle w:val="4"/>
        <w:adjustRightInd w:val="0"/>
        <w:snapToGrid w:val="0"/>
        <w:spacing w:before="0" w:after="0" w:line="560" w:lineRule="exact"/>
        <w:rPr>
          <w:rFonts w:ascii="仿宋_GB2312" w:hAnsi="仿宋_GB2312" w:eastAsia="仿宋_GB2312" w:cs="仿宋_GB2312"/>
          <w:color w:val="000000"/>
        </w:rPr>
      </w:pPr>
      <w:bookmarkStart w:id="62" w:name="_Toc15396625"/>
      <w:r>
        <w:rPr>
          <w:rStyle w:val="28"/>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般公共预算财政拨款支出决算明细表</w:t>
      </w:r>
      <w:bookmarkEnd w:id="62"/>
    </w:p>
    <w:p>
      <w:pPr>
        <w:pStyle w:val="4"/>
        <w:adjustRightInd w:val="0"/>
        <w:snapToGrid w:val="0"/>
        <w:spacing w:before="0" w:after="0" w:line="560" w:lineRule="exact"/>
        <w:rPr>
          <w:rFonts w:ascii="仿宋_GB2312" w:hAnsi="仿宋_GB2312" w:eastAsia="仿宋_GB2312" w:cs="仿宋_GB2312"/>
          <w:color w:val="000000"/>
        </w:rPr>
      </w:pPr>
      <w:bookmarkStart w:id="63" w:name="_Toc15396626"/>
      <w:r>
        <w:rPr>
          <w:rStyle w:val="28"/>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般公共预算财政拨款基本支出决算表</w:t>
      </w:r>
      <w:bookmarkEnd w:id="63"/>
    </w:p>
    <w:p>
      <w:pPr>
        <w:pStyle w:val="4"/>
        <w:adjustRightInd w:val="0"/>
        <w:snapToGrid w:val="0"/>
        <w:spacing w:before="0" w:after="0" w:line="560" w:lineRule="exact"/>
        <w:rPr>
          <w:rFonts w:ascii="仿宋_GB2312" w:hAnsi="仿宋_GB2312" w:eastAsia="仿宋_GB2312" w:cs="仿宋_GB2312"/>
          <w:color w:val="000000"/>
        </w:rPr>
      </w:pPr>
      <w:bookmarkStart w:id="64" w:name="_Toc15396627"/>
      <w:r>
        <w:rPr>
          <w:rStyle w:val="28"/>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般公共预算财政拨款项目支出决算表</w:t>
      </w:r>
      <w:bookmarkEnd w:id="64"/>
    </w:p>
    <w:p>
      <w:pPr>
        <w:pStyle w:val="4"/>
        <w:adjustRightInd w:val="0"/>
        <w:snapToGrid w:val="0"/>
        <w:spacing w:before="0" w:after="0" w:line="560" w:lineRule="exact"/>
        <w:rPr>
          <w:rFonts w:ascii="仿宋_GB2312" w:hAnsi="仿宋_GB2312" w:eastAsia="仿宋_GB2312" w:cs="仿宋_GB2312"/>
          <w:color w:val="000000"/>
        </w:rPr>
      </w:pPr>
      <w:bookmarkStart w:id="65" w:name="_Toc15396628"/>
      <w:r>
        <w:rPr>
          <w:rStyle w:val="28"/>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8"/>
          <w:rFonts w:hint="eastAsia" w:ascii="仿宋_GB2312" w:hAnsi="仿宋_GB2312" w:eastAsia="仿宋_GB2312" w:cs="仿宋_GB2312"/>
          <w:b w:val="0"/>
          <w:bCs w:val="0"/>
        </w:rPr>
        <w:t>般公共预算财政拨款“三公”经费支出决算表</w:t>
      </w:r>
      <w:bookmarkEnd w:id="65"/>
    </w:p>
    <w:p>
      <w:pPr>
        <w:pStyle w:val="4"/>
        <w:adjustRightInd w:val="0"/>
        <w:snapToGrid w:val="0"/>
        <w:spacing w:before="0" w:after="0" w:line="560" w:lineRule="exact"/>
        <w:rPr>
          <w:rFonts w:ascii="仿宋_GB2312" w:hAnsi="仿宋_GB2312" w:eastAsia="仿宋_GB2312" w:cs="仿宋_GB2312"/>
          <w:color w:val="000000"/>
        </w:rPr>
      </w:pPr>
      <w:bookmarkStart w:id="66" w:name="_Toc15396629"/>
      <w:r>
        <w:rPr>
          <w:rStyle w:val="28"/>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8"/>
          <w:rFonts w:hint="eastAsia" w:ascii="仿宋_GB2312" w:hAnsi="仿宋_GB2312" w:eastAsia="仿宋_GB2312" w:cs="仿宋_GB2312"/>
          <w:b w:val="0"/>
          <w:bCs w:val="0"/>
        </w:rPr>
        <w:t>府性基金预算财政拨款收入支出决算表</w:t>
      </w:r>
      <w:bookmarkEnd w:id="66"/>
    </w:p>
    <w:p>
      <w:pPr>
        <w:pStyle w:val="4"/>
        <w:adjustRightInd w:val="0"/>
        <w:snapToGrid w:val="0"/>
        <w:spacing w:before="0" w:after="0" w:line="560" w:lineRule="exact"/>
        <w:rPr>
          <w:rFonts w:ascii="仿宋_GB2312" w:hAnsi="仿宋_GB2312" w:eastAsia="仿宋_GB2312" w:cs="仿宋_GB2312"/>
          <w:color w:val="000000"/>
        </w:rPr>
      </w:pPr>
      <w:bookmarkStart w:id="67" w:name="_Toc15396630"/>
      <w:r>
        <w:rPr>
          <w:rStyle w:val="28"/>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8"/>
          <w:rFonts w:hint="eastAsia" w:ascii="仿宋_GB2312" w:hAnsi="仿宋_GB2312" w:eastAsia="仿宋_GB2312" w:cs="仿宋_GB2312"/>
          <w:b w:val="0"/>
          <w:bCs w:val="0"/>
        </w:rPr>
        <w:t>府性基金预算财政拨款“三公”经费支出决算表</w:t>
      </w:r>
      <w:bookmarkEnd w:id="67"/>
    </w:p>
    <w:p>
      <w:pPr>
        <w:pStyle w:val="4"/>
        <w:adjustRightInd w:val="0"/>
        <w:snapToGrid w:val="0"/>
        <w:spacing w:before="0" w:after="0" w:line="560" w:lineRule="exact"/>
        <w:rPr>
          <w:rStyle w:val="28"/>
          <w:rFonts w:ascii="仿宋_GB2312" w:hAnsi="仿宋_GB2312" w:eastAsia="仿宋_GB2312" w:cs="仿宋_GB2312"/>
          <w:b w:val="0"/>
          <w:bCs w:val="0"/>
        </w:rPr>
      </w:pPr>
      <w:bookmarkStart w:id="68" w:name="_Toc15396631"/>
      <w:r>
        <w:rPr>
          <w:rStyle w:val="28"/>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8"/>
          <w:rFonts w:hint="eastAsia" w:ascii="仿宋_GB2312" w:hAnsi="仿宋_GB2312" w:eastAsia="仿宋_GB2312" w:cs="仿宋_GB2312"/>
          <w:b w:val="0"/>
          <w:bCs w:val="0"/>
        </w:rPr>
        <w:t>有资本经营预算财政拨款收入支出决算表</w:t>
      </w:r>
      <w:bookmarkEnd w:id="68"/>
    </w:p>
    <w:p>
      <w:pPr>
        <w:adjustRightInd w:val="0"/>
        <w:snapToGrid w:val="0"/>
        <w:spacing w:line="560" w:lineRule="exact"/>
        <w:rPr>
          <w:rStyle w:val="28"/>
          <w:rFonts w:ascii="仿宋_GB2312" w:hAnsi="仿宋_GB2312" w:eastAsia="仿宋_GB2312" w:cs="仿宋_GB2312"/>
          <w:b w:val="0"/>
          <w:bCs w:val="0"/>
        </w:rPr>
      </w:pPr>
      <w:r>
        <w:rPr>
          <w:rStyle w:val="28"/>
          <w:rFonts w:hint="eastAsia" w:ascii="仿宋_GB2312" w:hAnsi="仿宋_GB2312" w:eastAsia="仿宋_GB2312" w:cs="仿宋_GB2312"/>
          <w:b w:val="0"/>
          <w:bCs w:val="0"/>
        </w:rPr>
        <w:t>十四、国有资本经营预算财政拨款支出决算表</w:t>
      </w:r>
    </w:p>
    <w:p>
      <w:pPr>
        <w:widowControl/>
        <w:shd w:val="clear" w:color="auto" w:fill="FFFFFF"/>
        <w:spacing w:before="75" w:after="150" w:line="580" w:lineRule="exact"/>
        <w:ind w:firstLine="420"/>
        <w:jc w:val="left"/>
        <w:rPr>
          <w:rStyle w:val="16"/>
          <w:rFonts w:ascii="微软雅黑" w:hAnsi="微软雅黑" w:eastAsia="微软雅黑" w:cs="微软雅黑"/>
          <w:bCs/>
          <w:color w:val="000000"/>
          <w:spacing w:val="15"/>
          <w:kern w:val="0"/>
          <w:sz w:val="30"/>
          <w:szCs w:val="30"/>
          <w:shd w:val="clear" w:color="auto" w:fill="FFFFFF"/>
        </w:rPr>
      </w:pPr>
    </w:p>
    <w:sectPr>
      <w:headerReference r:id="rId3" w:type="default"/>
      <w:footerReference r:id="rId4" w:type="default"/>
      <w:pgSz w:w="11906" w:h="16838"/>
      <w:pgMar w:top="1984" w:right="1474" w:bottom="1984" w:left="1587" w:header="851" w:footer="992"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rPr>
            <w:rFonts w:hint="eastAsia"/>
          </w:rPr>
          <w:t>—</w:t>
        </w: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15</w:t>
        </w:r>
        <w:r>
          <w:rPr>
            <w:rFonts w:ascii="Times New Roman" w:hAnsi="Times New Roman"/>
            <w:sz w:val="24"/>
            <w:szCs w:val="24"/>
          </w:rPr>
          <w:fldChar w:fldCharType="end"/>
        </w:r>
        <w:r>
          <w:rPr>
            <w:rFonts w:hint="eastAsia"/>
          </w:rPr>
          <w:t>—</w:t>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33A7258F"/>
    <w:multiLevelType w:val="singleLevel"/>
    <w:tmpl w:val="33A725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YTc0NjZkMWVlN2I2MmZlOThkZWU1YTAyZGU5ZTgifQ=="/>
  </w:docVars>
  <w:rsids>
    <w:rsidRoot w:val="00F1361C"/>
    <w:rsid w:val="00001E58"/>
    <w:rsid w:val="00001FD9"/>
    <w:rsid w:val="000222C6"/>
    <w:rsid w:val="0002549F"/>
    <w:rsid w:val="0002757F"/>
    <w:rsid w:val="00031032"/>
    <w:rsid w:val="000468DB"/>
    <w:rsid w:val="00063623"/>
    <w:rsid w:val="0006487A"/>
    <w:rsid w:val="00065F8F"/>
    <w:rsid w:val="00070A43"/>
    <w:rsid w:val="000768F2"/>
    <w:rsid w:val="00090CF4"/>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044B"/>
    <w:rsid w:val="00114E9B"/>
    <w:rsid w:val="001372AD"/>
    <w:rsid w:val="00142216"/>
    <w:rsid w:val="00144D6A"/>
    <w:rsid w:val="0014729F"/>
    <w:rsid w:val="001503E0"/>
    <w:rsid w:val="00157BAB"/>
    <w:rsid w:val="001654D1"/>
    <w:rsid w:val="00174518"/>
    <w:rsid w:val="00177278"/>
    <w:rsid w:val="0018106D"/>
    <w:rsid w:val="001877A7"/>
    <w:rsid w:val="00190D6E"/>
    <w:rsid w:val="00191536"/>
    <w:rsid w:val="00196687"/>
    <w:rsid w:val="001C0962"/>
    <w:rsid w:val="001D7531"/>
    <w:rsid w:val="001E737D"/>
    <w:rsid w:val="001F0592"/>
    <w:rsid w:val="001F29CE"/>
    <w:rsid w:val="001F4F4E"/>
    <w:rsid w:val="001F7506"/>
    <w:rsid w:val="002006CD"/>
    <w:rsid w:val="00202B36"/>
    <w:rsid w:val="00204B7A"/>
    <w:rsid w:val="00204CDE"/>
    <w:rsid w:val="0021101A"/>
    <w:rsid w:val="00215272"/>
    <w:rsid w:val="00220536"/>
    <w:rsid w:val="00235629"/>
    <w:rsid w:val="00260C38"/>
    <w:rsid w:val="002616C0"/>
    <w:rsid w:val="00265372"/>
    <w:rsid w:val="002662AA"/>
    <w:rsid w:val="00280496"/>
    <w:rsid w:val="002809ED"/>
    <w:rsid w:val="00284495"/>
    <w:rsid w:val="00294DC9"/>
    <w:rsid w:val="00295495"/>
    <w:rsid w:val="002A31DE"/>
    <w:rsid w:val="002B2613"/>
    <w:rsid w:val="002D6D05"/>
    <w:rsid w:val="002E02C4"/>
    <w:rsid w:val="002E590A"/>
    <w:rsid w:val="002F1818"/>
    <w:rsid w:val="002F4DA9"/>
    <w:rsid w:val="002F567B"/>
    <w:rsid w:val="00303429"/>
    <w:rsid w:val="00313849"/>
    <w:rsid w:val="00315DA7"/>
    <w:rsid w:val="00321110"/>
    <w:rsid w:val="003216A9"/>
    <w:rsid w:val="00335A74"/>
    <w:rsid w:val="00343E6E"/>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4CA7"/>
    <w:rsid w:val="003E6F55"/>
    <w:rsid w:val="00406254"/>
    <w:rsid w:val="004129E7"/>
    <w:rsid w:val="004223DE"/>
    <w:rsid w:val="00425792"/>
    <w:rsid w:val="00434489"/>
    <w:rsid w:val="00437085"/>
    <w:rsid w:val="00443880"/>
    <w:rsid w:val="004464F4"/>
    <w:rsid w:val="00471401"/>
    <w:rsid w:val="00473F31"/>
    <w:rsid w:val="0048263A"/>
    <w:rsid w:val="00483259"/>
    <w:rsid w:val="00484565"/>
    <w:rsid w:val="00487E5D"/>
    <w:rsid w:val="004A42B2"/>
    <w:rsid w:val="004A711F"/>
    <w:rsid w:val="004B199D"/>
    <w:rsid w:val="004B4690"/>
    <w:rsid w:val="004E0A2D"/>
    <w:rsid w:val="004E206B"/>
    <w:rsid w:val="004E6DF7"/>
    <w:rsid w:val="004F0FBD"/>
    <w:rsid w:val="00505A47"/>
    <w:rsid w:val="00512FDA"/>
    <w:rsid w:val="005134B7"/>
    <w:rsid w:val="00520DA0"/>
    <w:rsid w:val="005664BB"/>
    <w:rsid w:val="00566FFA"/>
    <w:rsid w:val="0057481D"/>
    <w:rsid w:val="0058486E"/>
    <w:rsid w:val="00585B33"/>
    <w:rsid w:val="0059014D"/>
    <w:rsid w:val="005B5C64"/>
    <w:rsid w:val="005C44A7"/>
    <w:rsid w:val="005C4ACA"/>
    <w:rsid w:val="005C5337"/>
    <w:rsid w:val="005C6BD0"/>
    <w:rsid w:val="005D1C8B"/>
    <w:rsid w:val="005D468D"/>
    <w:rsid w:val="005D5CED"/>
    <w:rsid w:val="005F1A4C"/>
    <w:rsid w:val="00605688"/>
    <w:rsid w:val="006070AF"/>
    <w:rsid w:val="00607E6C"/>
    <w:rsid w:val="006101B1"/>
    <w:rsid w:val="006121FA"/>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25A"/>
    <w:rsid w:val="006F020C"/>
    <w:rsid w:val="006F5021"/>
    <w:rsid w:val="007127B7"/>
    <w:rsid w:val="00715B0D"/>
    <w:rsid w:val="0071798E"/>
    <w:rsid w:val="007230EE"/>
    <w:rsid w:val="00735372"/>
    <w:rsid w:val="007416B6"/>
    <w:rsid w:val="00744B2C"/>
    <w:rsid w:val="00746F48"/>
    <w:rsid w:val="0075404D"/>
    <w:rsid w:val="0076182A"/>
    <w:rsid w:val="00767B7E"/>
    <w:rsid w:val="007770C3"/>
    <w:rsid w:val="00784D24"/>
    <w:rsid w:val="00785FBA"/>
    <w:rsid w:val="00786E4A"/>
    <w:rsid w:val="007875EB"/>
    <w:rsid w:val="0079426B"/>
    <w:rsid w:val="00796178"/>
    <w:rsid w:val="007D1682"/>
    <w:rsid w:val="007D312A"/>
    <w:rsid w:val="007D3F19"/>
    <w:rsid w:val="007E23B0"/>
    <w:rsid w:val="007E23E5"/>
    <w:rsid w:val="007F1991"/>
    <w:rsid w:val="007F2C2F"/>
    <w:rsid w:val="007F55FC"/>
    <w:rsid w:val="007F5665"/>
    <w:rsid w:val="00800112"/>
    <w:rsid w:val="00813348"/>
    <w:rsid w:val="008137B3"/>
    <w:rsid w:val="008253BB"/>
    <w:rsid w:val="0083706E"/>
    <w:rsid w:val="008408F6"/>
    <w:rsid w:val="008423A5"/>
    <w:rsid w:val="00846E09"/>
    <w:rsid w:val="00850625"/>
    <w:rsid w:val="00853718"/>
    <w:rsid w:val="00855221"/>
    <w:rsid w:val="00860645"/>
    <w:rsid w:val="00871F71"/>
    <w:rsid w:val="00872FD8"/>
    <w:rsid w:val="00882023"/>
    <w:rsid w:val="00885AF4"/>
    <w:rsid w:val="008939CD"/>
    <w:rsid w:val="008B768C"/>
    <w:rsid w:val="008C4DB1"/>
    <w:rsid w:val="008C4EAF"/>
    <w:rsid w:val="008C5176"/>
    <w:rsid w:val="008C7FD0"/>
    <w:rsid w:val="008E1DE7"/>
    <w:rsid w:val="008E39AF"/>
    <w:rsid w:val="008E707C"/>
    <w:rsid w:val="008F058B"/>
    <w:rsid w:val="00900B08"/>
    <w:rsid w:val="00902155"/>
    <w:rsid w:val="00902FA3"/>
    <w:rsid w:val="00923564"/>
    <w:rsid w:val="0092392E"/>
    <w:rsid w:val="0093052C"/>
    <w:rsid w:val="009315F9"/>
    <w:rsid w:val="00933499"/>
    <w:rsid w:val="00935C98"/>
    <w:rsid w:val="00946945"/>
    <w:rsid w:val="00951248"/>
    <w:rsid w:val="0095152F"/>
    <w:rsid w:val="00954C49"/>
    <w:rsid w:val="00955C81"/>
    <w:rsid w:val="00955E37"/>
    <w:rsid w:val="0097099F"/>
    <w:rsid w:val="00971997"/>
    <w:rsid w:val="00971FFC"/>
    <w:rsid w:val="0098660A"/>
    <w:rsid w:val="009931C3"/>
    <w:rsid w:val="009B2C43"/>
    <w:rsid w:val="009B4EAE"/>
    <w:rsid w:val="009B7573"/>
    <w:rsid w:val="009C22F4"/>
    <w:rsid w:val="009C2A4B"/>
    <w:rsid w:val="009C2E98"/>
    <w:rsid w:val="009C7CF6"/>
    <w:rsid w:val="009D3447"/>
    <w:rsid w:val="009D4711"/>
    <w:rsid w:val="009D7371"/>
    <w:rsid w:val="009E6D99"/>
    <w:rsid w:val="009F0C19"/>
    <w:rsid w:val="009F1185"/>
    <w:rsid w:val="009F18CD"/>
    <w:rsid w:val="009F2A13"/>
    <w:rsid w:val="009F6ADD"/>
    <w:rsid w:val="009F7527"/>
    <w:rsid w:val="00A04EB0"/>
    <w:rsid w:val="00A10F03"/>
    <w:rsid w:val="00A13CC1"/>
    <w:rsid w:val="00A16847"/>
    <w:rsid w:val="00A237D8"/>
    <w:rsid w:val="00A268C4"/>
    <w:rsid w:val="00A307CD"/>
    <w:rsid w:val="00A331C8"/>
    <w:rsid w:val="00A40A00"/>
    <w:rsid w:val="00A4142F"/>
    <w:rsid w:val="00A422EB"/>
    <w:rsid w:val="00A45BB7"/>
    <w:rsid w:val="00A513C5"/>
    <w:rsid w:val="00A56DF2"/>
    <w:rsid w:val="00A56E6E"/>
    <w:rsid w:val="00A65496"/>
    <w:rsid w:val="00A67AB5"/>
    <w:rsid w:val="00A733B2"/>
    <w:rsid w:val="00A741C2"/>
    <w:rsid w:val="00A91760"/>
    <w:rsid w:val="00A93B00"/>
    <w:rsid w:val="00A93C21"/>
    <w:rsid w:val="00AA18C4"/>
    <w:rsid w:val="00AB64C9"/>
    <w:rsid w:val="00AC3C6A"/>
    <w:rsid w:val="00AD5620"/>
    <w:rsid w:val="00AD656B"/>
    <w:rsid w:val="00AD7C1B"/>
    <w:rsid w:val="00AE16BA"/>
    <w:rsid w:val="00AE1EBE"/>
    <w:rsid w:val="00B03C9D"/>
    <w:rsid w:val="00B055D7"/>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3C99"/>
    <w:rsid w:val="00BF5BD6"/>
    <w:rsid w:val="00C03E31"/>
    <w:rsid w:val="00C21FC3"/>
    <w:rsid w:val="00C33E72"/>
    <w:rsid w:val="00C354B2"/>
    <w:rsid w:val="00C35554"/>
    <w:rsid w:val="00C42709"/>
    <w:rsid w:val="00C45708"/>
    <w:rsid w:val="00C533CC"/>
    <w:rsid w:val="00C5751C"/>
    <w:rsid w:val="00C61BFC"/>
    <w:rsid w:val="00C62B85"/>
    <w:rsid w:val="00C65438"/>
    <w:rsid w:val="00C66B3C"/>
    <w:rsid w:val="00C738BD"/>
    <w:rsid w:val="00C87FD8"/>
    <w:rsid w:val="00C900AD"/>
    <w:rsid w:val="00C91381"/>
    <w:rsid w:val="00C91CBB"/>
    <w:rsid w:val="00C9327B"/>
    <w:rsid w:val="00CB3B1F"/>
    <w:rsid w:val="00CB4E70"/>
    <w:rsid w:val="00CC09B6"/>
    <w:rsid w:val="00CC666F"/>
    <w:rsid w:val="00CD1E3F"/>
    <w:rsid w:val="00CE44F6"/>
    <w:rsid w:val="00CE49DA"/>
    <w:rsid w:val="00CE7B61"/>
    <w:rsid w:val="00D00095"/>
    <w:rsid w:val="00D114F0"/>
    <w:rsid w:val="00D1671E"/>
    <w:rsid w:val="00D20620"/>
    <w:rsid w:val="00D254F7"/>
    <w:rsid w:val="00D26091"/>
    <w:rsid w:val="00D2685C"/>
    <w:rsid w:val="00D34E7C"/>
    <w:rsid w:val="00D35489"/>
    <w:rsid w:val="00D36AFE"/>
    <w:rsid w:val="00D51276"/>
    <w:rsid w:val="00D7035F"/>
    <w:rsid w:val="00DA4EA7"/>
    <w:rsid w:val="00DA634F"/>
    <w:rsid w:val="00DA65AC"/>
    <w:rsid w:val="00DB1913"/>
    <w:rsid w:val="00DC410D"/>
    <w:rsid w:val="00DC5A81"/>
    <w:rsid w:val="00DC68CA"/>
    <w:rsid w:val="00DC7CBA"/>
    <w:rsid w:val="00DD10F4"/>
    <w:rsid w:val="00DD73B7"/>
    <w:rsid w:val="00DF28BC"/>
    <w:rsid w:val="00DF34B9"/>
    <w:rsid w:val="00E01053"/>
    <w:rsid w:val="00E07ACF"/>
    <w:rsid w:val="00E331A1"/>
    <w:rsid w:val="00E33202"/>
    <w:rsid w:val="00E336A9"/>
    <w:rsid w:val="00E472B1"/>
    <w:rsid w:val="00E50624"/>
    <w:rsid w:val="00E568DF"/>
    <w:rsid w:val="00E607B0"/>
    <w:rsid w:val="00E610E4"/>
    <w:rsid w:val="00E64269"/>
    <w:rsid w:val="00E82267"/>
    <w:rsid w:val="00E853CE"/>
    <w:rsid w:val="00E867B6"/>
    <w:rsid w:val="00E9191A"/>
    <w:rsid w:val="00EA010F"/>
    <w:rsid w:val="00EA5CE0"/>
    <w:rsid w:val="00ED1B63"/>
    <w:rsid w:val="00ED3C1F"/>
    <w:rsid w:val="00ED4085"/>
    <w:rsid w:val="00ED420E"/>
    <w:rsid w:val="00ED6FBE"/>
    <w:rsid w:val="00EE2F57"/>
    <w:rsid w:val="00EF4C34"/>
    <w:rsid w:val="00EF77C6"/>
    <w:rsid w:val="00F05438"/>
    <w:rsid w:val="00F069D9"/>
    <w:rsid w:val="00F1361C"/>
    <w:rsid w:val="00F156F0"/>
    <w:rsid w:val="00F160C7"/>
    <w:rsid w:val="00F21F4C"/>
    <w:rsid w:val="00F2408F"/>
    <w:rsid w:val="00F240E9"/>
    <w:rsid w:val="00F36D8F"/>
    <w:rsid w:val="00F417B1"/>
    <w:rsid w:val="00F44823"/>
    <w:rsid w:val="00F45853"/>
    <w:rsid w:val="00F602DF"/>
    <w:rsid w:val="00F60DA4"/>
    <w:rsid w:val="00F754A1"/>
    <w:rsid w:val="00F81FD9"/>
    <w:rsid w:val="00F841AA"/>
    <w:rsid w:val="00F84A94"/>
    <w:rsid w:val="00F87E96"/>
    <w:rsid w:val="00FA23E8"/>
    <w:rsid w:val="00FD3CC1"/>
    <w:rsid w:val="00FF1E02"/>
    <w:rsid w:val="00FF30B4"/>
    <w:rsid w:val="011B39DB"/>
    <w:rsid w:val="016C5230"/>
    <w:rsid w:val="01D97202"/>
    <w:rsid w:val="01DF56A4"/>
    <w:rsid w:val="020E320A"/>
    <w:rsid w:val="02297609"/>
    <w:rsid w:val="02374D29"/>
    <w:rsid w:val="02610A77"/>
    <w:rsid w:val="02654A8B"/>
    <w:rsid w:val="027723F1"/>
    <w:rsid w:val="029D2C61"/>
    <w:rsid w:val="02E448C3"/>
    <w:rsid w:val="039B6D88"/>
    <w:rsid w:val="03A42856"/>
    <w:rsid w:val="03E273F4"/>
    <w:rsid w:val="04CE3D1F"/>
    <w:rsid w:val="04EF6708"/>
    <w:rsid w:val="05094F23"/>
    <w:rsid w:val="056929C3"/>
    <w:rsid w:val="056F5FD3"/>
    <w:rsid w:val="058F1A71"/>
    <w:rsid w:val="05D535D4"/>
    <w:rsid w:val="06012720"/>
    <w:rsid w:val="060162C5"/>
    <w:rsid w:val="063F74FA"/>
    <w:rsid w:val="064416AA"/>
    <w:rsid w:val="06B7215E"/>
    <w:rsid w:val="06C1749E"/>
    <w:rsid w:val="07252FEB"/>
    <w:rsid w:val="0738549D"/>
    <w:rsid w:val="074A12E9"/>
    <w:rsid w:val="07674BAC"/>
    <w:rsid w:val="07C82BA6"/>
    <w:rsid w:val="07E868BD"/>
    <w:rsid w:val="08C52152"/>
    <w:rsid w:val="08CD1985"/>
    <w:rsid w:val="08E342CC"/>
    <w:rsid w:val="09676EB2"/>
    <w:rsid w:val="09B93C81"/>
    <w:rsid w:val="09EC2FD7"/>
    <w:rsid w:val="09F14654"/>
    <w:rsid w:val="0A2032A3"/>
    <w:rsid w:val="0A454B27"/>
    <w:rsid w:val="0A494F8E"/>
    <w:rsid w:val="0AB82C60"/>
    <w:rsid w:val="0AF502D8"/>
    <w:rsid w:val="0B3657E6"/>
    <w:rsid w:val="0B676C93"/>
    <w:rsid w:val="0B897B51"/>
    <w:rsid w:val="0BB64846"/>
    <w:rsid w:val="0BC8059C"/>
    <w:rsid w:val="0BD007DB"/>
    <w:rsid w:val="0BE20E6A"/>
    <w:rsid w:val="0BEB5BBE"/>
    <w:rsid w:val="0C394112"/>
    <w:rsid w:val="0C4C4293"/>
    <w:rsid w:val="0D2C08B5"/>
    <w:rsid w:val="0D6C600A"/>
    <w:rsid w:val="0E4F2C65"/>
    <w:rsid w:val="0EE62A7A"/>
    <w:rsid w:val="0F09045F"/>
    <w:rsid w:val="0F1B51F1"/>
    <w:rsid w:val="0F8C27CB"/>
    <w:rsid w:val="0F920255"/>
    <w:rsid w:val="0FCC0D11"/>
    <w:rsid w:val="100328E7"/>
    <w:rsid w:val="10C055FF"/>
    <w:rsid w:val="10EB1ED8"/>
    <w:rsid w:val="111765B5"/>
    <w:rsid w:val="11281D7B"/>
    <w:rsid w:val="114E2471"/>
    <w:rsid w:val="11695010"/>
    <w:rsid w:val="118107EC"/>
    <w:rsid w:val="11964DB2"/>
    <w:rsid w:val="119D48FB"/>
    <w:rsid w:val="119F239A"/>
    <w:rsid w:val="11EF61D5"/>
    <w:rsid w:val="12215054"/>
    <w:rsid w:val="129A4FC9"/>
    <w:rsid w:val="12AC0D80"/>
    <w:rsid w:val="134D39A4"/>
    <w:rsid w:val="135B3D96"/>
    <w:rsid w:val="13606F59"/>
    <w:rsid w:val="142D0F36"/>
    <w:rsid w:val="144861E3"/>
    <w:rsid w:val="147D0563"/>
    <w:rsid w:val="14B2603C"/>
    <w:rsid w:val="156C6EBD"/>
    <w:rsid w:val="161A4712"/>
    <w:rsid w:val="16A37D1B"/>
    <w:rsid w:val="16BB723D"/>
    <w:rsid w:val="16F52188"/>
    <w:rsid w:val="17850BAF"/>
    <w:rsid w:val="17DC7314"/>
    <w:rsid w:val="1830651D"/>
    <w:rsid w:val="18521F34"/>
    <w:rsid w:val="18925B91"/>
    <w:rsid w:val="189C405E"/>
    <w:rsid w:val="18C9167B"/>
    <w:rsid w:val="19003102"/>
    <w:rsid w:val="192E331C"/>
    <w:rsid w:val="1964283D"/>
    <w:rsid w:val="19747EB4"/>
    <w:rsid w:val="19AA2F17"/>
    <w:rsid w:val="19B80632"/>
    <w:rsid w:val="19CF4AA4"/>
    <w:rsid w:val="1A925AF3"/>
    <w:rsid w:val="1AE62AAE"/>
    <w:rsid w:val="1BE8440E"/>
    <w:rsid w:val="1C2F271A"/>
    <w:rsid w:val="1C413D38"/>
    <w:rsid w:val="1C686439"/>
    <w:rsid w:val="1CBB4F0D"/>
    <w:rsid w:val="1CCD74AF"/>
    <w:rsid w:val="1D0C7B7F"/>
    <w:rsid w:val="1D155CEE"/>
    <w:rsid w:val="1D176DDB"/>
    <w:rsid w:val="1D774968"/>
    <w:rsid w:val="1D7E6896"/>
    <w:rsid w:val="1D9B04C9"/>
    <w:rsid w:val="1DA00598"/>
    <w:rsid w:val="1DCA7EA7"/>
    <w:rsid w:val="1DE95407"/>
    <w:rsid w:val="1E235398"/>
    <w:rsid w:val="1EF54821"/>
    <w:rsid w:val="1FDD5E01"/>
    <w:rsid w:val="1FFA5CD7"/>
    <w:rsid w:val="202C3813"/>
    <w:rsid w:val="208310E4"/>
    <w:rsid w:val="20B23735"/>
    <w:rsid w:val="21004E76"/>
    <w:rsid w:val="2147765D"/>
    <w:rsid w:val="21E10FB9"/>
    <w:rsid w:val="21F05915"/>
    <w:rsid w:val="22061077"/>
    <w:rsid w:val="227305C2"/>
    <w:rsid w:val="22752E66"/>
    <w:rsid w:val="23062201"/>
    <w:rsid w:val="2317122E"/>
    <w:rsid w:val="23654A3D"/>
    <w:rsid w:val="2378394A"/>
    <w:rsid w:val="237D2A44"/>
    <w:rsid w:val="23B2764D"/>
    <w:rsid w:val="23C57E4D"/>
    <w:rsid w:val="23EE2FF4"/>
    <w:rsid w:val="23F70186"/>
    <w:rsid w:val="240371BF"/>
    <w:rsid w:val="243943CC"/>
    <w:rsid w:val="250B3EAD"/>
    <w:rsid w:val="257845A3"/>
    <w:rsid w:val="2596772E"/>
    <w:rsid w:val="25A369E9"/>
    <w:rsid w:val="25E340FF"/>
    <w:rsid w:val="26447C92"/>
    <w:rsid w:val="26DD13F6"/>
    <w:rsid w:val="26F92C70"/>
    <w:rsid w:val="273A74A1"/>
    <w:rsid w:val="277A0BF2"/>
    <w:rsid w:val="27885770"/>
    <w:rsid w:val="27BA63E9"/>
    <w:rsid w:val="288D63C1"/>
    <w:rsid w:val="28BC3B3E"/>
    <w:rsid w:val="28D54FD8"/>
    <w:rsid w:val="28DA6FC5"/>
    <w:rsid w:val="290A2CC7"/>
    <w:rsid w:val="29462DFB"/>
    <w:rsid w:val="294B2E6D"/>
    <w:rsid w:val="299D3953"/>
    <w:rsid w:val="29D27BF7"/>
    <w:rsid w:val="29FD04D3"/>
    <w:rsid w:val="2A166C50"/>
    <w:rsid w:val="2A4B07FB"/>
    <w:rsid w:val="2A663437"/>
    <w:rsid w:val="2A80295C"/>
    <w:rsid w:val="2A813133"/>
    <w:rsid w:val="2AB84EBA"/>
    <w:rsid w:val="2AC322D7"/>
    <w:rsid w:val="2AE62B16"/>
    <w:rsid w:val="2B5E0741"/>
    <w:rsid w:val="2B650295"/>
    <w:rsid w:val="2BC904D3"/>
    <w:rsid w:val="2C2D1E98"/>
    <w:rsid w:val="2C3113A5"/>
    <w:rsid w:val="2C5D221C"/>
    <w:rsid w:val="2C8B530E"/>
    <w:rsid w:val="2C922A7D"/>
    <w:rsid w:val="2CD17B9E"/>
    <w:rsid w:val="2DF7273A"/>
    <w:rsid w:val="2E040A34"/>
    <w:rsid w:val="2E0F1A8D"/>
    <w:rsid w:val="2E3042CF"/>
    <w:rsid w:val="2E677A7E"/>
    <w:rsid w:val="2E812F8B"/>
    <w:rsid w:val="2EC50DCA"/>
    <w:rsid w:val="2F62316D"/>
    <w:rsid w:val="2F7444A5"/>
    <w:rsid w:val="2FA472BE"/>
    <w:rsid w:val="2FD02B4B"/>
    <w:rsid w:val="30394DD5"/>
    <w:rsid w:val="30B831A5"/>
    <w:rsid w:val="30CA61EE"/>
    <w:rsid w:val="310536C1"/>
    <w:rsid w:val="3124539F"/>
    <w:rsid w:val="312D1B2F"/>
    <w:rsid w:val="319F7F4E"/>
    <w:rsid w:val="31BC1B1D"/>
    <w:rsid w:val="31D63A88"/>
    <w:rsid w:val="31DF488C"/>
    <w:rsid w:val="326B64CB"/>
    <w:rsid w:val="32A661F4"/>
    <w:rsid w:val="32AA753A"/>
    <w:rsid w:val="331A369F"/>
    <w:rsid w:val="33230658"/>
    <w:rsid w:val="33547C94"/>
    <w:rsid w:val="33C972EB"/>
    <w:rsid w:val="341E0268"/>
    <w:rsid w:val="34246D46"/>
    <w:rsid w:val="3425128E"/>
    <w:rsid w:val="34317D71"/>
    <w:rsid w:val="348B7AA3"/>
    <w:rsid w:val="34DC3F62"/>
    <w:rsid w:val="34E32BBD"/>
    <w:rsid w:val="34F71DA8"/>
    <w:rsid w:val="357A5AA7"/>
    <w:rsid w:val="36044AA1"/>
    <w:rsid w:val="362777CB"/>
    <w:rsid w:val="367A46F2"/>
    <w:rsid w:val="36B04D5F"/>
    <w:rsid w:val="37B14237"/>
    <w:rsid w:val="38823841"/>
    <w:rsid w:val="38982C80"/>
    <w:rsid w:val="38B03935"/>
    <w:rsid w:val="38CE76CB"/>
    <w:rsid w:val="38D61111"/>
    <w:rsid w:val="39163C46"/>
    <w:rsid w:val="393A5728"/>
    <w:rsid w:val="395C552D"/>
    <w:rsid w:val="396816EC"/>
    <w:rsid w:val="398A2DAA"/>
    <w:rsid w:val="39D37385"/>
    <w:rsid w:val="39FC2478"/>
    <w:rsid w:val="3A0C0864"/>
    <w:rsid w:val="3A386077"/>
    <w:rsid w:val="3A5759EE"/>
    <w:rsid w:val="3A6A2B30"/>
    <w:rsid w:val="3A6F7CA9"/>
    <w:rsid w:val="3ABA2E98"/>
    <w:rsid w:val="3B3B2561"/>
    <w:rsid w:val="3B586663"/>
    <w:rsid w:val="3B70132B"/>
    <w:rsid w:val="3B9D411A"/>
    <w:rsid w:val="3BF465E4"/>
    <w:rsid w:val="3C8F69BE"/>
    <w:rsid w:val="3D316242"/>
    <w:rsid w:val="3D3C1244"/>
    <w:rsid w:val="3D594136"/>
    <w:rsid w:val="3D5D1EEC"/>
    <w:rsid w:val="3DCF174D"/>
    <w:rsid w:val="3DEF6688"/>
    <w:rsid w:val="3E1578B0"/>
    <w:rsid w:val="3FF5186A"/>
    <w:rsid w:val="3FFE5970"/>
    <w:rsid w:val="401363C8"/>
    <w:rsid w:val="403F70E4"/>
    <w:rsid w:val="40790579"/>
    <w:rsid w:val="40B84810"/>
    <w:rsid w:val="4158517D"/>
    <w:rsid w:val="416040E1"/>
    <w:rsid w:val="41B50487"/>
    <w:rsid w:val="421F124D"/>
    <w:rsid w:val="42597F40"/>
    <w:rsid w:val="42D942AB"/>
    <w:rsid w:val="42DB3B0F"/>
    <w:rsid w:val="42DF0FB0"/>
    <w:rsid w:val="431B3C7D"/>
    <w:rsid w:val="432D5D26"/>
    <w:rsid w:val="43302075"/>
    <w:rsid w:val="433B7020"/>
    <w:rsid w:val="438651EA"/>
    <w:rsid w:val="43C6711F"/>
    <w:rsid w:val="43F857C6"/>
    <w:rsid w:val="44572637"/>
    <w:rsid w:val="446D6C20"/>
    <w:rsid w:val="449206DE"/>
    <w:rsid w:val="44A32B60"/>
    <w:rsid w:val="44FA42CF"/>
    <w:rsid w:val="451F2CCD"/>
    <w:rsid w:val="453C010B"/>
    <w:rsid w:val="45EA0584"/>
    <w:rsid w:val="45F743E2"/>
    <w:rsid w:val="460A7787"/>
    <w:rsid w:val="46462D68"/>
    <w:rsid w:val="467A7A27"/>
    <w:rsid w:val="46943EE1"/>
    <w:rsid w:val="4698353E"/>
    <w:rsid w:val="46BC68DC"/>
    <w:rsid w:val="46D30763"/>
    <w:rsid w:val="46F31622"/>
    <w:rsid w:val="470C5BB7"/>
    <w:rsid w:val="47386626"/>
    <w:rsid w:val="474F5D54"/>
    <w:rsid w:val="477E2647"/>
    <w:rsid w:val="47CE4CF7"/>
    <w:rsid w:val="488C1D9C"/>
    <w:rsid w:val="48935603"/>
    <w:rsid w:val="48CD1738"/>
    <w:rsid w:val="4928056E"/>
    <w:rsid w:val="493645DC"/>
    <w:rsid w:val="495A4168"/>
    <w:rsid w:val="4A6202FC"/>
    <w:rsid w:val="4A7F3FF9"/>
    <w:rsid w:val="4AC31F57"/>
    <w:rsid w:val="4B6B6139"/>
    <w:rsid w:val="4BCD3B6B"/>
    <w:rsid w:val="4BD6149E"/>
    <w:rsid w:val="4BE068DB"/>
    <w:rsid w:val="4BE77227"/>
    <w:rsid w:val="4C795E0C"/>
    <w:rsid w:val="4C9F2B12"/>
    <w:rsid w:val="4CC408E7"/>
    <w:rsid w:val="4D6830FC"/>
    <w:rsid w:val="4D717588"/>
    <w:rsid w:val="4D895B46"/>
    <w:rsid w:val="4D8A195A"/>
    <w:rsid w:val="4D9C3545"/>
    <w:rsid w:val="4DF800CC"/>
    <w:rsid w:val="4E12096E"/>
    <w:rsid w:val="4E4B2D46"/>
    <w:rsid w:val="4E9A7D92"/>
    <w:rsid w:val="4ECE2238"/>
    <w:rsid w:val="4EE77FCC"/>
    <w:rsid w:val="4F043A85"/>
    <w:rsid w:val="4F541A02"/>
    <w:rsid w:val="4F8216C2"/>
    <w:rsid w:val="50266F93"/>
    <w:rsid w:val="506849D2"/>
    <w:rsid w:val="50F27BEF"/>
    <w:rsid w:val="513242FF"/>
    <w:rsid w:val="513A4F1A"/>
    <w:rsid w:val="514E6A16"/>
    <w:rsid w:val="51512E07"/>
    <w:rsid w:val="515526CD"/>
    <w:rsid w:val="51A92C2F"/>
    <w:rsid w:val="51C760CF"/>
    <w:rsid w:val="52425DA4"/>
    <w:rsid w:val="52794024"/>
    <w:rsid w:val="52F02AD3"/>
    <w:rsid w:val="532C6EBC"/>
    <w:rsid w:val="53367C74"/>
    <w:rsid w:val="537274C0"/>
    <w:rsid w:val="537E1F06"/>
    <w:rsid w:val="539A0F31"/>
    <w:rsid w:val="53F708DB"/>
    <w:rsid w:val="5425729D"/>
    <w:rsid w:val="54463996"/>
    <w:rsid w:val="54661233"/>
    <w:rsid w:val="54885AF7"/>
    <w:rsid w:val="54D66427"/>
    <w:rsid w:val="54E03D02"/>
    <w:rsid w:val="55483728"/>
    <w:rsid w:val="555412BA"/>
    <w:rsid w:val="557C59B9"/>
    <w:rsid w:val="560E0098"/>
    <w:rsid w:val="569D614D"/>
    <w:rsid w:val="56BF402E"/>
    <w:rsid w:val="57523C8E"/>
    <w:rsid w:val="57800353"/>
    <w:rsid w:val="57850E25"/>
    <w:rsid w:val="57E06B2A"/>
    <w:rsid w:val="583542D8"/>
    <w:rsid w:val="583F0F95"/>
    <w:rsid w:val="58494DDA"/>
    <w:rsid w:val="58D67E95"/>
    <w:rsid w:val="58E90F03"/>
    <w:rsid w:val="593E265E"/>
    <w:rsid w:val="596834C0"/>
    <w:rsid w:val="5A2D68EB"/>
    <w:rsid w:val="5A6F0275"/>
    <w:rsid w:val="5AA3414E"/>
    <w:rsid w:val="5B1620B2"/>
    <w:rsid w:val="5C250C7A"/>
    <w:rsid w:val="5CB04C53"/>
    <w:rsid w:val="5CBC0F82"/>
    <w:rsid w:val="5D622814"/>
    <w:rsid w:val="5D6E6840"/>
    <w:rsid w:val="5E020AD5"/>
    <w:rsid w:val="5E0F591D"/>
    <w:rsid w:val="5E302F2F"/>
    <w:rsid w:val="5E38285F"/>
    <w:rsid w:val="5E5B7468"/>
    <w:rsid w:val="5EE15B4E"/>
    <w:rsid w:val="5EFD66E6"/>
    <w:rsid w:val="5FE01EAB"/>
    <w:rsid w:val="604C34EF"/>
    <w:rsid w:val="60636D39"/>
    <w:rsid w:val="609E4562"/>
    <w:rsid w:val="60C81218"/>
    <w:rsid w:val="61107FB3"/>
    <w:rsid w:val="611D567B"/>
    <w:rsid w:val="615F014E"/>
    <w:rsid w:val="618576DE"/>
    <w:rsid w:val="61D93BAB"/>
    <w:rsid w:val="62C97AE5"/>
    <w:rsid w:val="63281E5B"/>
    <w:rsid w:val="63582FE4"/>
    <w:rsid w:val="63963AD7"/>
    <w:rsid w:val="63AE1831"/>
    <w:rsid w:val="643C5E4F"/>
    <w:rsid w:val="64563FD8"/>
    <w:rsid w:val="64A17012"/>
    <w:rsid w:val="64A7654A"/>
    <w:rsid w:val="64A8060F"/>
    <w:rsid w:val="64BA7E9E"/>
    <w:rsid w:val="64E96F44"/>
    <w:rsid w:val="650A407E"/>
    <w:rsid w:val="65105FB1"/>
    <w:rsid w:val="652C6BDC"/>
    <w:rsid w:val="65986DE0"/>
    <w:rsid w:val="66430B26"/>
    <w:rsid w:val="66793C29"/>
    <w:rsid w:val="66B830E8"/>
    <w:rsid w:val="67451165"/>
    <w:rsid w:val="6770566E"/>
    <w:rsid w:val="67A31C97"/>
    <w:rsid w:val="67F73A40"/>
    <w:rsid w:val="67FE3920"/>
    <w:rsid w:val="68222F0E"/>
    <w:rsid w:val="6854461B"/>
    <w:rsid w:val="686A2EB4"/>
    <w:rsid w:val="688A609B"/>
    <w:rsid w:val="68990D36"/>
    <w:rsid w:val="689C1A1E"/>
    <w:rsid w:val="69122946"/>
    <w:rsid w:val="69163465"/>
    <w:rsid w:val="694B17DF"/>
    <w:rsid w:val="697A6CE7"/>
    <w:rsid w:val="69813F78"/>
    <w:rsid w:val="6A07277F"/>
    <w:rsid w:val="6A11658D"/>
    <w:rsid w:val="6A1C1E6E"/>
    <w:rsid w:val="6A3F4FC4"/>
    <w:rsid w:val="6A4428FE"/>
    <w:rsid w:val="6A9527E7"/>
    <w:rsid w:val="6AB36EC4"/>
    <w:rsid w:val="6B1B3CB2"/>
    <w:rsid w:val="6B33561F"/>
    <w:rsid w:val="6B3D1221"/>
    <w:rsid w:val="6C0C64C9"/>
    <w:rsid w:val="6C4A05C8"/>
    <w:rsid w:val="6C6C64A9"/>
    <w:rsid w:val="6CD117E8"/>
    <w:rsid w:val="6D547ED4"/>
    <w:rsid w:val="6D703FFF"/>
    <w:rsid w:val="6DEE22DE"/>
    <w:rsid w:val="6DF54E1A"/>
    <w:rsid w:val="6E904835"/>
    <w:rsid w:val="6F1B5639"/>
    <w:rsid w:val="6F384A67"/>
    <w:rsid w:val="6F9C0F2E"/>
    <w:rsid w:val="6FD217C3"/>
    <w:rsid w:val="701506DC"/>
    <w:rsid w:val="70822504"/>
    <w:rsid w:val="70951DAE"/>
    <w:rsid w:val="70C50614"/>
    <w:rsid w:val="71670D67"/>
    <w:rsid w:val="71E132E8"/>
    <w:rsid w:val="71FD4407"/>
    <w:rsid w:val="724E3397"/>
    <w:rsid w:val="7265110B"/>
    <w:rsid w:val="72734D90"/>
    <w:rsid w:val="7284620A"/>
    <w:rsid w:val="730D3C14"/>
    <w:rsid w:val="735C794C"/>
    <w:rsid w:val="736E3855"/>
    <w:rsid w:val="73EC0543"/>
    <w:rsid w:val="73EF3687"/>
    <w:rsid w:val="73F22F27"/>
    <w:rsid w:val="740A222A"/>
    <w:rsid w:val="74316B6F"/>
    <w:rsid w:val="747E4AAA"/>
    <w:rsid w:val="75562F73"/>
    <w:rsid w:val="756E6A87"/>
    <w:rsid w:val="757C6D8E"/>
    <w:rsid w:val="76862E15"/>
    <w:rsid w:val="76C35F99"/>
    <w:rsid w:val="76D23968"/>
    <w:rsid w:val="76E43881"/>
    <w:rsid w:val="76FC1D6B"/>
    <w:rsid w:val="77867966"/>
    <w:rsid w:val="7815648F"/>
    <w:rsid w:val="7851174D"/>
    <w:rsid w:val="78E355AD"/>
    <w:rsid w:val="78F95D97"/>
    <w:rsid w:val="79057CC6"/>
    <w:rsid w:val="79350A54"/>
    <w:rsid w:val="794F071E"/>
    <w:rsid w:val="795C3C08"/>
    <w:rsid w:val="797377BC"/>
    <w:rsid w:val="7984064E"/>
    <w:rsid w:val="7A13247B"/>
    <w:rsid w:val="7A2541E3"/>
    <w:rsid w:val="7A351E37"/>
    <w:rsid w:val="7A725A4C"/>
    <w:rsid w:val="7B060B42"/>
    <w:rsid w:val="7B124979"/>
    <w:rsid w:val="7B3532F0"/>
    <w:rsid w:val="7B6D3FE8"/>
    <w:rsid w:val="7B942CA1"/>
    <w:rsid w:val="7BF82F26"/>
    <w:rsid w:val="7BFB0C05"/>
    <w:rsid w:val="7C51267D"/>
    <w:rsid w:val="7C972563"/>
    <w:rsid w:val="7D284E21"/>
    <w:rsid w:val="7D720140"/>
    <w:rsid w:val="7D721180"/>
    <w:rsid w:val="7DE41319"/>
    <w:rsid w:val="7E011211"/>
    <w:rsid w:val="7E057930"/>
    <w:rsid w:val="7E221992"/>
    <w:rsid w:val="7E87752D"/>
    <w:rsid w:val="7EAB6723"/>
    <w:rsid w:val="7ED33653"/>
    <w:rsid w:val="7F772D3C"/>
    <w:rsid w:val="7F901C24"/>
    <w:rsid w:val="7F976B45"/>
    <w:rsid w:val="7FA30C79"/>
    <w:rsid w:val="7FEC262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Autospacing="1" w:afterAutospacing="1"/>
      <w:jc w:val="left"/>
    </w:pPr>
    <w:rPr>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9"/>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8"/>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7"/>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font2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2020&#24180;&#20915;&#31639;&#20844;&#24320;\&#32534;&#21046;&#35828;&#26126;&#30340;&#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22\Desktop\&#32534;&#21046;&#35828;&#26126;&#30340;&#22270;&#65288;&#26426;&#20851;&#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22\Desktop\&#32534;&#21046;&#35828;&#26126;&#30340;&#22270;&#65288;&#26426;&#20851;&#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22\Desktop\&#32534;&#21046;&#35828;&#26126;&#30340;&#22270;&#65288;&#26426;&#20851;&#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22\Desktop\&#32534;&#21046;&#35828;&#26126;&#30340;&#22270;&#65288;&#26426;&#20851;&#652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22\Desktop\&#32534;&#21046;&#35828;&#26126;&#30340;&#22270;&#65288;&#26426;&#20851;&#652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22\Desktop\&#32534;&#21046;&#35828;&#26126;&#30340;&#22270;&#65288;&#26426;&#20851;&#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收、支决算总计变动情况图</a:t>
            </a:r>
            <a:endParaRPr>
              <a:solidFill>
                <a:schemeClr val="tx1"/>
              </a:solidFill>
            </a:endParaRPr>
          </a:p>
        </c:rich>
      </c:tx>
      <c:layout>
        <c:manualLayout>
          <c:xMode val="edge"/>
          <c:yMode val="edge"/>
          <c:x val="0.305329806507493"/>
          <c:y val="0.033679282060077"/>
        </c:manualLayout>
      </c:layout>
      <c:overlay val="0"/>
      <c:spPr>
        <a:noFill/>
        <a:ln>
          <a:noFill/>
        </a:ln>
        <a:effectLst/>
      </c:spPr>
    </c:title>
    <c:autoTitleDeleted val="0"/>
    <c:plotArea>
      <c:layout/>
      <c:barChart>
        <c:barDir val="col"/>
        <c:grouping val="clustered"/>
        <c:varyColors val="0"/>
        <c:ser>
          <c:idx val="1"/>
          <c:order val="1"/>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[编制说明的图.xlsx]Sheet3!$B$3:$B$4</c:f>
              <c:strCache>
                <c:ptCount val="2"/>
                <c:pt idx="0">
                  <c:v>2019年</c:v>
                </c:pt>
                <c:pt idx="1">
                  <c:v>2020年</c:v>
                </c:pt>
              </c:strCache>
            </c:strRef>
          </c:cat>
          <c:val>
            <c:numRef>
              <c:f>[编制说明的图.xlsx]Sheet3!$C$3:$C$4</c:f>
            </c:numRef>
          </c:val>
        </c:ser>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[编制说明的图.xlsx]Sheet3!$B$3:$B$4</c:f>
              <c:strCache>
                <c:ptCount val="2"/>
                <c:pt idx="0">
                  <c:v>2019年</c:v>
                </c:pt>
                <c:pt idx="1">
                  <c:v>2020年</c:v>
                </c:pt>
              </c:strCache>
            </c:strRef>
          </c:cat>
          <c:val>
            <c:numRef>
              <c:f>[编制说明的图.xlsx]Sheet3!$C$3:$C$4</c:f>
              <c:numCache>
                <c:formatCode>General</c:formatCode>
                <c:ptCount val="2"/>
                <c:pt idx="0">
                  <c:v>6755.49</c:v>
                </c:pt>
                <c:pt idx="1">
                  <c:v>4314.47</c:v>
                </c:pt>
              </c:numCache>
            </c:numRef>
          </c:val>
        </c:ser>
        <c:dLbls>
          <c:showLegendKey val="0"/>
          <c:showVal val="1"/>
          <c:showCatName val="0"/>
          <c:showSerName val="0"/>
          <c:showPercent val="0"/>
          <c:showBubbleSize val="0"/>
        </c:dLbls>
        <c:gapWidth val="150"/>
        <c:axId val="214233088"/>
        <c:axId val="214234624"/>
      </c:barChart>
      <c:catAx>
        <c:axId val="21423308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234624"/>
        <c:crosses val="autoZero"/>
        <c:auto val="1"/>
        <c:lblAlgn val="ctr"/>
        <c:lblOffset val="100"/>
        <c:noMultiLvlLbl val="0"/>
      </c:catAx>
      <c:valAx>
        <c:axId val="214234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233088"/>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solidFill>
                  <a:schemeClr val="tx1"/>
                </a:solidFill>
              </a:rPr>
              <a:t>收入</a:t>
            </a:r>
            <a:r>
              <a:rPr>
                <a:solidFill>
                  <a:schemeClr val="tx1"/>
                </a:solidFill>
              </a:rPr>
              <a:t>决算结构图</a:t>
            </a:r>
            <a:endParaRPr>
              <a:solidFill>
                <a:schemeClr val="tx1"/>
              </a:solidFill>
            </a:endParaRPr>
          </a:p>
        </c:rich>
      </c:tx>
      <c:layout/>
      <c:overlay val="0"/>
      <c:spPr>
        <a:noFill/>
        <a:ln w="12700" cmpd="sng">
          <a:noFill/>
          <a:prstDash val="solid"/>
        </a:ln>
        <a:effectLst/>
      </c:spPr>
    </c:title>
    <c:autoTitleDeleted val="0"/>
    <c:plotArea>
      <c:layout/>
      <c:pieChart>
        <c:varyColors val="1"/>
        <c:ser>
          <c:idx val="0"/>
          <c:order val="0"/>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'[编制说明的图（机关）.xlsx]图2'!$A$4:$A$5</c:f>
              <c:strCache>
                <c:ptCount val="2"/>
                <c:pt idx="0">
                  <c:v>一般公共预算财政拨款收入</c:v>
                </c:pt>
                <c:pt idx="1">
                  <c:v>其他收入</c:v>
                </c:pt>
              </c:strCache>
            </c:strRef>
          </c:cat>
          <c:val>
            <c:numRef>
              <c:f>'[编制说明的图（机关）.xlsx]图2'!$B$4:$B$5</c:f>
              <c:numCache>
                <c:formatCode>General</c:formatCode>
                <c:ptCount val="2"/>
                <c:pt idx="0">
                  <c:v>4314.42</c:v>
                </c:pt>
                <c:pt idx="1">
                  <c:v>0.05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支出决算结构图</a:t>
            </a:r>
            <a:endParaRPr>
              <a:solidFill>
                <a:schemeClr val="tx1"/>
              </a:solidFill>
            </a:endParaRPr>
          </a:p>
        </c:rich>
      </c:tx>
      <c:layout/>
      <c:overlay val="0"/>
      <c:spPr>
        <a:noFill/>
        <a:ln w="12700" cmpd="sng">
          <a:noFill/>
          <a:prstDash val="solid"/>
        </a:ln>
        <a:effectLst/>
      </c:spPr>
    </c:title>
    <c:autoTitleDeleted val="0"/>
    <c:plotArea>
      <c:layout/>
      <c:pieChart>
        <c:varyColors val="1"/>
        <c:ser>
          <c:idx val="0"/>
          <c:order val="0"/>
          <c:explosion val="0"/>
          <c:dPt>
            <c:idx val="0"/>
            <c:bubble3D val="0"/>
            <c:explosion val="1"/>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'[编制说明的图（机关）.xlsx]图3'!$A$4:$A$5</c:f>
              <c:strCache>
                <c:ptCount val="2"/>
                <c:pt idx="0">
                  <c:v>基本支出</c:v>
                </c:pt>
                <c:pt idx="1">
                  <c:v>项目支出</c:v>
                </c:pt>
              </c:strCache>
            </c:strRef>
          </c:cat>
          <c:val>
            <c:numRef>
              <c:f>'[编制说明的图（机关）.xlsx]图3'!$B$4:$B$5</c:f>
              <c:numCache>
                <c:formatCode>General</c:formatCode>
                <c:ptCount val="2"/>
                <c:pt idx="0">
                  <c:v>2704.43</c:v>
                </c:pt>
                <c:pt idx="1">
                  <c:v>1610.04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财政拨款收、支决算总计变动情况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elete val="1"/>
          </c:dLbls>
          <c:cat>
            <c:multiLvlStrRef>
              <c:f>'[编制说明的图（机关）.xlsx]图4'!$A$3:$B$4</c:f>
              <c:multiLvlStrCache>
                <c:ptCount val="2"/>
                <c:lvl>
                  <c:pt idx="0">
                    <c:v>财政拨款收入</c:v>
                  </c:pt>
                  <c:pt idx="1">
                    <c:v>财政拨款支出</c:v>
                  </c:pt>
                </c:lvl>
                <c:lvl/>
              </c:multiLvlStrCache>
            </c:multiLvlStrRef>
          </c:cat>
          <c:val>
            <c:numRef>
              <c:f>'[编制说明的图（机关）.xlsx]图4'!$C$3:$C$4</c:f>
              <c:numCache>
                <c:formatCode>General</c:formatCode>
                <c:ptCount val="2"/>
                <c:pt idx="0">
                  <c:v>6754.67</c:v>
                </c:pt>
                <c:pt idx="1">
                  <c:v>6754.67</c:v>
                </c:pt>
              </c:numCache>
            </c:numRef>
          </c:val>
        </c:ser>
        <c:ser>
          <c:idx val="1"/>
          <c:order val="1"/>
          <c:tx>
            <c:strRef>
              <c:f>"2020年"</c:f>
              <c:strCache>
                <c:ptCount val="1"/>
                <c:pt idx="0">
                  <c:v>2020年</c:v>
                </c:pt>
              </c:strCache>
            </c:strRef>
          </c:tx>
          <c:spPr>
            <a:solidFill>
              <a:schemeClr val="accent2"/>
            </a:solidFill>
            <a:ln>
              <a:noFill/>
            </a:ln>
            <a:effectLst/>
          </c:spPr>
          <c:invertIfNegative val="0"/>
          <c:dLbls>
            <c:delete val="1"/>
          </c:dLbls>
          <c:cat>
            <c:multiLvlStrRef>
              <c:f>'[编制说明的图（机关）.xlsx]图4'!$A$3:$B$4</c:f>
              <c:multiLvlStrCache>
                <c:ptCount val="2"/>
                <c:lvl>
                  <c:pt idx="0">
                    <c:v>财政拨款收入</c:v>
                  </c:pt>
                  <c:pt idx="1">
                    <c:v>财政拨款支出</c:v>
                  </c:pt>
                </c:lvl>
                <c:lvl/>
              </c:multiLvlStrCache>
            </c:multiLvlStrRef>
          </c:cat>
          <c:val>
            <c:numRef>
              <c:f>'[编制说明的图（机关）.xlsx]图4'!$D$3:$D$4</c:f>
              <c:numCache>
                <c:formatCode>General</c:formatCode>
                <c:ptCount val="2"/>
                <c:pt idx="0">
                  <c:v>4314.42</c:v>
                </c:pt>
                <c:pt idx="1">
                  <c:v>4314.42</c:v>
                </c:pt>
              </c:numCache>
            </c:numRef>
          </c:val>
        </c:ser>
        <c:dLbls>
          <c:showLegendKey val="0"/>
          <c:showVal val="0"/>
          <c:showCatName val="0"/>
          <c:showSerName val="0"/>
          <c:showPercent val="0"/>
          <c:showBubbleSize val="0"/>
        </c:dLbls>
        <c:gapWidth val="150"/>
        <c:axId val="214286336"/>
        <c:axId val="214287872"/>
      </c:barChart>
      <c:catAx>
        <c:axId val="21428633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287872"/>
        <c:crosses val="autoZero"/>
        <c:auto val="1"/>
        <c:lblAlgn val="ctr"/>
        <c:lblOffset val="100"/>
        <c:noMultiLvlLbl val="0"/>
      </c:catAx>
      <c:valAx>
        <c:axId val="214287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286336"/>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一般公共预算财政拨款支出决算变动情况</a:t>
            </a:r>
            <a:endParaRPr>
              <a:solidFill>
                <a:schemeClr val="tx1"/>
              </a:solidFill>
            </a:endParaRPr>
          </a:p>
        </c:rich>
      </c:tx>
      <c:layout>
        <c:manualLayout>
          <c:xMode val="edge"/>
          <c:yMode val="edge"/>
          <c:x val="0.177377892030848"/>
          <c:y val="0.016921711765501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'[编制说明的图（机关）.xlsx]图5'!$B$3:$B$4</c:f>
              <c:strCache>
                <c:ptCount val="2"/>
                <c:pt idx="0">
                  <c:v>2019年</c:v>
                </c:pt>
                <c:pt idx="1">
                  <c:v>2020年</c:v>
                </c:pt>
              </c:strCache>
            </c:strRef>
          </c:cat>
          <c:val>
            <c:numRef>
              <c:f>'[编制说明的图（机关）.xlsx]图5'!$C$3:$C$4</c:f>
              <c:numCache>
                <c:formatCode>General</c:formatCode>
                <c:ptCount val="2"/>
                <c:pt idx="0">
                  <c:v>6754.67</c:v>
                </c:pt>
                <c:pt idx="1">
                  <c:v>4314.42</c:v>
                </c:pt>
              </c:numCache>
            </c:numRef>
          </c:val>
        </c:ser>
        <c:dLbls>
          <c:showLegendKey val="0"/>
          <c:showVal val="1"/>
          <c:showCatName val="0"/>
          <c:showSerName val="0"/>
          <c:showPercent val="0"/>
          <c:showBubbleSize val="0"/>
        </c:dLbls>
        <c:gapWidth val="150"/>
        <c:axId val="214313600"/>
        <c:axId val="214335872"/>
      </c:barChart>
      <c:catAx>
        <c:axId val="21431360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335872"/>
        <c:crosses val="autoZero"/>
        <c:auto val="1"/>
        <c:lblAlgn val="ctr"/>
        <c:lblOffset val="100"/>
        <c:noMultiLvlLbl val="0"/>
      </c:catAx>
      <c:valAx>
        <c:axId val="214335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313600"/>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r>
              <a:rPr b="0">
                <a:ln w="12700" cmpd="sng">
                  <a:solidFill>
                    <a:schemeClr val="tx1"/>
                  </a:solidFill>
                  <a:prstDash val="solid"/>
                </a:ln>
              </a:rPr>
              <a:t>一般公共预算财政拨款支出决算结构</a:t>
            </a:r>
            <a:endParaRPr b="0">
              <a:ln w="12700" cmpd="sng">
                <a:solidFill>
                  <a:schemeClr val="tx1"/>
                </a:solidFill>
                <a:prstDash val="solid"/>
              </a:ln>
            </a:endParaRPr>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dLbl>
              <c:idx val="0"/>
              <c:layout>
                <c:manualLayout>
                  <c:x val="0.0153066302029365"/>
                  <c:y val="0.02010625270196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539270581804688"/>
                  <c:y val="-0.01597520296533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08003193729007"/>
                  <c:y val="-0.00826822894995337"/>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566181127295757"/>
                      <c:h val="0.0556992241893774"/>
                    </c:manualLayout>
                  </c15:layout>
                </c:ext>
              </c:extLst>
            </c:dLbl>
            <c:dLbl>
              <c:idx val="4"/>
              <c:layout>
                <c:manualLayout>
                  <c:x val="0.0659618927497748"/>
                  <c:y val="0.03147470981302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0692652408006699"/>
                  <c:y val="0.0037358942148626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146188042940118"/>
                  <c:y val="0.015033529322310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0741474073333348"/>
                  <c:y val="0.15271020210135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464851171627612"/>
                      <c:h val="0.0612691466083151"/>
                    </c:manualLayout>
                  </c15:layout>
                </c:ext>
              </c:extLst>
            </c:dLbl>
            <c:spPr>
              <a:solidFill>
                <a:schemeClr val="bg1">
                  <a:alpha val="76000"/>
                </a:schemeClr>
              </a:solidFill>
              <a:ln>
                <a:noFill/>
              </a:ln>
              <a:effectLst/>
            </c:spPr>
            <c:txPr>
              <a:bodyPr rot="0" spcFirstLastPara="0" vertOverflow="ellipsis" vert="horz" wrap="square" lIns="38100" tIns="19050" rIns="38100" bIns="19050" anchor="ctr" anchorCtr="1"/>
              <a:lstStyle/>
              <a:p>
                <a:pPr>
                  <a:defRPr lang="zh-CN" sz="1000" b="0" i="0" u="none" strike="noStrike" kern="1200" baseline="0">
                    <a:ln w="12700" cmpd="sng">
                      <a:solidFill>
                        <a:schemeClr val="tx1"/>
                      </a:solidFill>
                      <a:prstDash val="solid"/>
                    </a:ln>
                    <a:solidFill>
                      <a:schemeClr val="tx1">
                        <a:alpha val="94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'[编制说明的图（机关）.xlsx]图6'!$A$1:$A$8</c:f>
              <c:strCache>
                <c:ptCount val="8"/>
                <c:pt idx="0">
                  <c:v>一般公共服务支出</c:v>
                </c:pt>
                <c:pt idx="1">
                  <c:v>教育支出</c:v>
                </c:pt>
                <c:pt idx="2">
                  <c:v>社会保障和就业支出</c:v>
                </c:pt>
                <c:pt idx="3">
                  <c:v>卫生健康支出</c:v>
                </c:pt>
                <c:pt idx="4">
                  <c:v>商业服务业等支出</c:v>
                </c:pt>
                <c:pt idx="5">
                  <c:v>住房保障支出</c:v>
                </c:pt>
                <c:pt idx="6">
                  <c:v>粮油物资储备支出</c:v>
                </c:pt>
                <c:pt idx="7">
                  <c:v>灾害防治及应急管理支出</c:v>
                </c:pt>
              </c:strCache>
            </c:strRef>
          </c:cat>
          <c:val>
            <c:numRef>
              <c:f>'[编制说明的图（机关）.xlsx]图6'!$B$1:$B$8</c:f>
              <c:numCache>
                <c:formatCode>0.00_ </c:formatCode>
                <c:ptCount val="8"/>
                <c:pt idx="0">
                  <c:v>325.95</c:v>
                </c:pt>
                <c:pt idx="1" c:formatCode="General">
                  <c:v>12.04</c:v>
                </c:pt>
                <c:pt idx="2" c:formatCode="General">
                  <c:v>708.5</c:v>
                </c:pt>
                <c:pt idx="3" c:formatCode="General">
                  <c:v>137.08</c:v>
                </c:pt>
                <c:pt idx="4" c:formatCode="General">
                  <c:v>1433.42</c:v>
                </c:pt>
                <c:pt idx="5" c:formatCode="General">
                  <c:v>282.43</c:v>
                </c:pt>
                <c:pt idx="6" c:formatCode="General">
                  <c:v>1410</c:v>
                </c:pt>
                <c:pt idx="7" c:formatCode="General">
                  <c:v>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egendEntry>
        <c:idx val="7"/>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ln w="12700" cmpd="sng">
                <a:solidFill>
                  <a:schemeClr val="tx1"/>
                </a:solidFill>
                <a:prstDash val="solid"/>
              </a:ln>
              <a:solidFill>
                <a:schemeClr val="dk1">
                  <a:lumMod val="75000"/>
                  <a:lumOff val="25000"/>
                </a:schemeClr>
              </a:solidFill>
              <a:latin typeface="+mn-lt"/>
              <a:ea typeface="+mn-ea"/>
              <a:cs typeface="+mn-cs"/>
            </a:defRPr>
          </a:pPr>
        </a:p>
      </c:txPr>
    </c:legend>
    <c:plotVisOnly val="1"/>
    <c:dispBlanksAs val="zero"/>
    <c:showDLblsOverMax val="0"/>
  </c:chart>
  <c:spPr>
    <a:solidFill>
      <a:schemeClr val="bg1"/>
    </a:solidFill>
    <a:ln w="12700" cap="flat" cmpd="sng" algn="ctr">
      <a:solidFill>
        <a:schemeClr val="tx1"/>
      </a:solidFill>
      <a:prstDash val="solid"/>
      <a:round/>
    </a:ln>
    <a:effectLst/>
  </c:spPr>
  <c:txPr>
    <a:bodyPr/>
    <a:lstStyle/>
    <a:p>
      <a:pPr>
        <a:defRPr lang="zh-CN">
          <a:ln w="12700" cmpd="sng">
            <a:solidFill>
              <a:schemeClr val="tx1"/>
            </a:solidFill>
            <a:prstDash val="solid"/>
          </a:ln>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218333333333333"/>
          <c:y val="0.0305555555555556"/>
        </c:manualLayout>
      </c:layout>
      <c:overlay val="0"/>
      <c:spPr>
        <a:noFill/>
        <a:ln>
          <a:noFill/>
        </a:ln>
        <a:effectLst/>
      </c:spPr>
    </c:title>
    <c:autoTitleDeleted val="0"/>
    <c:plotArea>
      <c:layout>
        <c:manualLayout>
          <c:layoutTarget val="inner"/>
          <c:xMode val="edge"/>
          <c:yMode val="edge"/>
          <c:x val="0.258888888888889"/>
          <c:y val="0.1875"/>
          <c:w val="0.419722222222222"/>
          <c:h val="0.699537037037037"/>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92248288714788"/>
                  <c:y val="-0.03669198426287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529255422143023"/>
                  <c:y val="0.02709797940278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
                  <c:y val="0.013888888888888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'[编制说明的图（机关）.xlsx]图7'!$A$1:$A$3</c:f>
              <c:strCache>
                <c:ptCount val="3"/>
                <c:pt idx="0">
                  <c:v>公务用车购置及运行维护费支出</c:v>
                </c:pt>
                <c:pt idx="1">
                  <c:v>公务接待费支出</c:v>
                </c:pt>
                <c:pt idx="2">
                  <c:v>因公出国（境）费支出</c:v>
                </c:pt>
              </c:strCache>
            </c:strRef>
          </c:cat>
          <c:val>
            <c:numRef>
              <c:f>'[编制说明的图（机关）.xlsx]图7'!$B$1:$B$3</c:f>
              <c:numCache>
                <c:formatCode>General</c:formatCode>
                <c:ptCount val="3"/>
                <c:pt idx="0">
                  <c:v>30.6</c:v>
                </c:pt>
                <c:pt idx="1">
                  <c:v>3.31</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82222222222222"/>
          <c:y val="0.296296296296296"/>
          <c:w val="0.163333333333333"/>
          <c:h val="0.5611111111111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12700" cap="flat" cmpd="sng" algn="ctr">
      <a:solidFill>
        <a:schemeClr val="tx1"/>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DB0C-A1B0-4AB2-98D6-30223478A16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19107</Words>
  <Characters>21273</Characters>
  <Lines>158</Lines>
  <Paragraphs>44</Paragraphs>
  <TotalTime>3</TotalTime>
  <ScaleCrop>false</ScaleCrop>
  <LinksUpToDate>false</LinksUpToDate>
  <CharactersWithSpaces>21320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2021-08-25T08:44:00Z</dcterms:created>
  <dc:creator>曹颖</dc:creator>
  <cp:lastModifiedBy>89</cp:lastModifiedBy>
  <cp:lastPrinted>2021-08-25T08:59:00Z</cp:lastPrinted>
  <dcterms:modified xsi:type="dcterms:W3CDTF">2022-11-14T01:55:48Z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1AAEF8F582754D5080AD37B50ACED3AD</vt:lpwstr>
  </property>
</Properties>
</file>